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February 28, 2022</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Ralph Lauren Corporation</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2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492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001-13057</w:t>
            </w:r>
          </w:p>
        </w:tc>
        <w:tc>
          <w:tcPr>
            <w:tcW w:w="1700" w:type="dxa"/>
            <w:vAlign w:val="bottom"/>
          </w:tcPr>
          <w:p>
            <w:pPr>
              <w:jc w:val="right"/>
              <w:ind w:right="110"/>
              <w:spacing w:after="0"/>
              <w:rPr>
                <w:sz w:val="20"/>
                <w:szCs w:val="20"/>
                <w:color w:val="auto"/>
              </w:rPr>
            </w:pPr>
            <w:r>
              <w:rPr>
                <w:rFonts w:ascii="Arial" w:cs="Arial" w:eastAsia="Arial" w:hAnsi="Arial"/>
                <w:sz w:val="18"/>
                <w:szCs w:val="18"/>
                <w:b w:val="1"/>
                <w:bCs w:val="1"/>
                <w:color w:val="auto"/>
              </w:rPr>
              <w:t>13-2622036</w:t>
            </w:r>
          </w:p>
        </w:tc>
      </w:tr>
      <w:tr>
        <w:trPr>
          <w:trHeight w:val="216"/>
        </w:trPr>
        <w:tc>
          <w:tcPr>
            <w:tcW w:w="296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w:t>
            </w:r>
          </w:p>
        </w:tc>
        <w:tc>
          <w:tcPr>
            <w:tcW w:w="4920" w:type="dxa"/>
            <w:vAlign w:val="bottom"/>
          </w:tcPr>
          <w:p>
            <w:pPr>
              <w:jc w:val="center"/>
              <w:ind w:right="370"/>
              <w:spacing w:after="0"/>
              <w:rPr>
                <w:sz w:val="20"/>
                <w:szCs w:val="20"/>
                <w:color w:val="auto"/>
              </w:rPr>
            </w:pPr>
            <w:r>
              <w:rPr>
                <w:rFonts w:ascii="Arial" w:cs="Arial" w:eastAsia="Arial" w:hAnsi="Arial"/>
                <w:sz w:val="18"/>
                <w:szCs w:val="18"/>
                <w:color w:val="auto"/>
                <w:w w:val="92"/>
              </w:rPr>
              <w:t>(Commission File Number)</w:t>
            </w:r>
          </w:p>
        </w:tc>
        <w:tc>
          <w:tcPr>
            <w:tcW w:w="1700" w:type="dxa"/>
            <w:vAlign w:val="bottom"/>
          </w:tcPr>
          <w:p>
            <w:pPr>
              <w:jc w:val="center"/>
              <w:ind w:left="350"/>
              <w:spacing w:after="0"/>
              <w:rPr>
                <w:sz w:val="20"/>
                <w:szCs w:val="20"/>
                <w:color w:val="auto"/>
              </w:rPr>
            </w:pPr>
            <w:r>
              <w:rPr>
                <w:rFonts w:ascii="Arial" w:cs="Arial" w:eastAsia="Arial" w:hAnsi="Arial"/>
                <w:sz w:val="18"/>
                <w:szCs w:val="18"/>
                <w:color w:val="auto"/>
                <w:w w:val="92"/>
              </w:rPr>
              <w:t>(I.R.S. Employer</w:t>
            </w:r>
          </w:p>
        </w:tc>
      </w:tr>
      <w:tr>
        <w:trPr>
          <w:trHeight w:val="230"/>
        </w:trPr>
        <w:tc>
          <w:tcPr>
            <w:tcW w:w="2960" w:type="dxa"/>
            <w:vAlign w:val="bottom"/>
          </w:tcPr>
          <w:p>
            <w:pPr>
              <w:ind w:left="300"/>
              <w:spacing w:after="0"/>
              <w:rPr>
                <w:sz w:val="20"/>
                <w:szCs w:val="20"/>
                <w:color w:val="auto"/>
              </w:rPr>
            </w:pPr>
            <w:r>
              <w:rPr>
                <w:rFonts w:ascii="Arial" w:cs="Arial" w:eastAsia="Arial" w:hAnsi="Arial"/>
                <w:sz w:val="18"/>
                <w:szCs w:val="18"/>
                <w:color w:val="auto"/>
              </w:rPr>
              <w:t>incorporation or organization)</w:t>
            </w:r>
          </w:p>
        </w:tc>
        <w:tc>
          <w:tcPr>
            <w:tcW w:w="4920" w:type="dxa"/>
            <w:vAlign w:val="bottom"/>
          </w:tcPr>
          <w:p>
            <w:pPr>
              <w:spacing w:after="0"/>
              <w:rPr>
                <w:sz w:val="20"/>
                <w:szCs w:val="20"/>
                <w:color w:val="auto"/>
              </w:rPr>
            </w:pPr>
          </w:p>
        </w:tc>
        <w:tc>
          <w:tcPr>
            <w:tcW w:w="1700" w:type="dxa"/>
            <w:vAlign w:val="bottom"/>
          </w:tcPr>
          <w:p>
            <w:pPr>
              <w:ind w:left="360"/>
              <w:spacing w:after="0"/>
              <w:rPr>
                <w:sz w:val="20"/>
                <w:szCs w:val="20"/>
                <w:color w:val="auto"/>
              </w:rPr>
            </w:pPr>
            <w:r>
              <w:rPr>
                <w:rFonts w:ascii="Arial" w:cs="Arial" w:eastAsia="Arial" w:hAnsi="Arial"/>
                <w:sz w:val="18"/>
                <w:szCs w:val="18"/>
                <w:color w:val="auto"/>
                <w:w w:val="94"/>
              </w:rPr>
              <w:t>Identification No.)</w:t>
            </w:r>
          </w:p>
        </w:tc>
      </w:tr>
      <w:tr>
        <w:trPr>
          <w:trHeight w:val="441"/>
        </w:trPr>
        <w:tc>
          <w:tcPr>
            <w:tcW w:w="29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650 Madison Avenue,</w:t>
            </w:r>
          </w:p>
        </w:tc>
        <w:tc>
          <w:tcPr>
            <w:tcW w:w="4920" w:type="dxa"/>
            <w:vAlign w:val="bottom"/>
          </w:tcPr>
          <w:p>
            <w:pPr>
              <w:spacing w:after="0"/>
              <w:rPr>
                <w:sz w:val="24"/>
                <w:szCs w:val="24"/>
                <w:color w:val="auto"/>
              </w:rPr>
            </w:pP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10022</w:t>
            </w:r>
          </w:p>
        </w:tc>
      </w:tr>
      <w:tr>
        <w:trPr>
          <w:trHeight w:val="220"/>
        </w:trPr>
        <w:tc>
          <w:tcPr>
            <w:tcW w:w="29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New York, New York</w:t>
            </w:r>
          </w:p>
        </w:tc>
        <w:tc>
          <w:tcPr>
            <w:tcW w:w="4920" w:type="dxa"/>
            <w:vAlign w:val="bottom"/>
          </w:tcPr>
          <w:p>
            <w:pPr>
              <w:spacing w:after="0"/>
              <w:rPr>
                <w:sz w:val="19"/>
                <w:szCs w:val="19"/>
                <w:color w:val="auto"/>
              </w:rPr>
            </w:pPr>
          </w:p>
        </w:tc>
        <w:tc>
          <w:tcPr>
            <w:tcW w:w="1700" w:type="dxa"/>
            <w:vAlign w:val="bottom"/>
          </w:tcPr>
          <w:p>
            <w:pPr>
              <w:jc w:val="center"/>
              <w:ind w:left="350"/>
              <w:spacing w:after="0"/>
              <w:rPr>
                <w:sz w:val="20"/>
                <w:szCs w:val="20"/>
                <w:color w:val="auto"/>
              </w:rPr>
            </w:pPr>
            <w:r>
              <w:rPr>
                <w:rFonts w:ascii="Arial" w:cs="Arial" w:eastAsia="Arial" w:hAnsi="Arial"/>
                <w:sz w:val="18"/>
                <w:szCs w:val="18"/>
                <w:color w:val="auto"/>
                <w:w w:val="91"/>
              </w:rPr>
              <w:t>(Zip Code)</w:t>
            </w:r>
          </w:p>
        </w:tc>
      </w:tr>
      <w:tr>
        <w:trPr>
          <w:trHeight w:val="230"/>
        </w:trPr>
        <w:tc>
          <w:tcPr>
            <w:tcW w:w="296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49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8"/>
        </w:trPr>
        <w:tc>
          <w:tcPr>
            <w:tcW w:w="2960" w:type="dxa"/>
            <w:vAlign w:val="bottom"/>
          </w:tcPr>
          <w:p>
            <w:pPr>
              <w:spacing w:after="0"/>
              <w:rPr>
                <w:sz w:val="24"/>
                <w:szCs w:val="24"/>
                <w:color w:val="auto"/>
              </w:rPr>
            </w:pPr>
          </w:p>
        </w:tc>
        <w:tc>
          <w:tcPr>
            <w:tcW w:w="492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(212) 318-7000</w:t>
            </w:r>
          </w:p>
        </w:tc>
        <w:tc>
          <w:tcPr>
            <w:tcW w:w="170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4920" w:type="dxa"/>
            <w:vAlign w:val="bottom"/>
          </w:tcPr>
          <w:p>
            <w:pPr>
              <w:jc w:val="center"/>
              <w:ind w:right="390"/>
              <w:spacing w:after="0"/>
              <w:rPr>
                <w:sz w:val="20"/>
                <w:szCs w:val="20"/>
                <w:color w:val="auto"/>
              </w:rPr>
            </w:pPr>
            <w:r>
              <w:rPr>
                <w:rFonts w:ascii="Arial" w:cs="Arial" w:eastAsia="Arial" w:hAnsi="Arial"/>
                <w:sz w:val="18"/>
                <w:szCs w:val="18"/>
                <w:color w:val="auto"/>
                <w:w w:val="89"/>
              </w:rPr>
              <w:t>(Registrant's telephone number, including area code)</w:t>
            </w:r>
          </w:p>
        </w:tc>
        <w:tc>
          <w:tcPr>
            <w:tcW w:w="1700" w:type="dxa"/>
            <w:vAlign w:val="bottom"/>
          </w:tcPr>
          <w:p>
            <w:pPr>
              <w:spacing w:after="0"/>
              <w:rPr>
                <w:sz w:val="20"/>
                <w:szCs w:val="20"/>
                <w:color w:val="auto"/>
              </w:rPr>
            </w:pPr>
          </w:p>
        </w:tc>
      </w:tr>
      <w:tr>
        <w:trPr>
          <w:trHeight w:val="418"/>
        </w:trPr>
        <w:tc>
          <w:tcPr>
            <w:tcW w:w="2960" w:type="dxa"/>
            <w:vAlign w:val="bottom"/>
          </w:tcPr>
          <w:p>
            <w:pPr>
              <w:spacing w:after="0"/>
              <w:rPr>
                <w:sz w:val="24"/>
                <w:szCs w:val="24"/>
                <w:color w:val="auto"/>
              </w:rPr>
            </w:pPr>
          </w:p>
        </w:tc>
        <w:tc>
          <w:tcPr>
            <w:tcW w:w="4920" w:type="dxa"/>
            <w:vAlign w:val="bottom"/>
          </w:tcPr>
          <w:p>
            <w:pPr>
              <w:jc w:val="center"/>
              <w:ind w:right="370"/>
              <w:spacing w:after="0"/>
              <w:rPr>
                <w:sz w:val="20"/>
                <w:szCs w:val="20"/>
                <w:color w:val="auto"/>
              </w:rPr>
            </w:pPr>
            <w:r>
              <w:rPr>
                <w:rFonts w:ascii="Arial" w:cs="Arial" w:eastAsia="Arial" w:hAnsi="Arial"/>
                <w:sz w:val="18"/>
                <w:szCs w:val="18"/>
                <w:color w:val="auto"/>
                <w:w w:val="97"/>
              </w:rPr>
              <w:t>NOT APPLICABLE</w:t>
            </w:r>
          </w:p>
        </w:tc>
        <w:tc>
          <w:tcPr>
            <w:tcW w:w="170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w w:val="96"/>
              </w:rPr>
              <w:t>(Former name or former address, if changed since last report.)</w:t>
            </w:r>
          </w:p>
        </w:tc>
        <w:tc>
          <w:tcPr>
            <w:tcW w:w="170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660" w:hanging="3552"/>
        <w:spacing w:after="0" w:line="560" w:lineRule="auto"/>
        <w:tabs>
          <w:tab w:leader="none" w:pos="39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ectPr>
          <w:pgSz w:w="11900" w:h="16838" w:orient="portrait"/>
          <w:cols w:equalWidth="0" w:num="1">
            <w:col w:w="11080"/>
          </w:cols>
          <w:pgMar w:left="320" w:top="751" w:right="499" w:bottom="1440" w:gutter="0" w:footer="0" w:header="0"/>
        </w:sectPr>
      </w:pPr>
    </w:p>
    <w:p>
      <w:pPr>
        <w:spacing w:after="0" w:line="217"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jc w:val="center"/>
        <w:ind w:right="700"/>
        <w:spacing w:after="0"/>
        <w:rPr>
          <w:sz w:val="20"/>
          <w:szCs w:val="20"/>
          <w:color w:val="auto"/>
        </w:rPr>
      </w:pPr>
      <w:r>
        <w:rPr>
          <w:rFonts w:ascii="Arial" w:cs="Arial" w:eastAsia="Arial" w:hAnsi="Arial"/>
          <w:sz w:val="16"/>
          <w:szCs w:val="16"/>
          <w:b w:val="1"/>
          <w:bCs w:val="1"/>
          <w:color w:val="auto"/>
        </w:rPr>
        <w:t>Name of Each Exchange</w:t>
      </w:r>
    </w:p>
    <w:p>
      <w:pPr>
        <w:spacing w:after="0" w:line="50"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on which Registered</w:t>
      </w:r>
    </w:p>
    <w:p>
      <w:pPr>
        <w:spacing w:after="0" w:line="9" w:lineRule="exact"/>
        <w:rPr>
          <w:sz w:val="24"/>
          <w:szCs w:val="24"/>
          <w:color w:val="auto"/>
        </w:rPr>
      </w:pPr>
    </w:p>
    <w:p>
      <w:pPr>
        <w:sectPr>
          <w:pgSz w:w="11900" w:h="16838" w:orient="portrait"/>
          <w:cols w:equalWidth="0" w:num="3">
            <w:col w:w="4200" w:space="720"/>
            <w:col w:w="2860" w:space="720"/>
            <w:col w:w="2580"/>
          </w:cols>
          <w:pgMar w:left="320" w:top="751" w:right="49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Class A 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RL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22" w:lineRule="exact"/>
        <w:rPr>
          <w:sz w:val="24"/>
          <w:szCs w:val="24"/>
          <w:color w:val="auto"/>
        </w:rPr>
      </w:pPr>
    </w:p>
    <w:p>
      <w:pPr>
        <w:sectPr>
          <w:pgSz w:w="11900" w:h="16838" w:orient="portrait"/>
          <w:cols w:equalWidth="0" w:num="3">
            <w:col w:w="4800" w:space="720"/>
            <w:col w:w="2240" w:space="720"/>
            <w:col w:w="2600"/>
          </w:cols>
          <w:pgMar w:left="320" w:top="751" w:right="499" w:bottom="1440" w:gutter="0" w:footer="0" w:header="0"/>
          <w:type w:val="continuous"/>
        </w:sectPr>
      </w:pPr>
    </w:p>
    <w:p>
      <w:pPr>
        <w:spacing w:after="0" w:line="2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tabs>
          <w:tab w:leader="none" w:pos="25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51" w:right="499" w:bottom="1440" w:gutter="0" w:footer="0" w:header="0"/>
          <w:type w:val="continuous"/>
        </w:sectPr>
      </w:pPr>
    </w:p>
    <w:bookmarkStart w:id="1" w:name="page2"/>
    <w:bookmarkEnd w:id="1"/>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Howard Smith, Executive Vice President and Chief Commercial Officer of the Ralph Lauren Corporation, has resigned, effective April 2, 2022, and will step down from his role immediately. Mr. Smith’s resignation is unrelated to the Company’s financial reporting and business performance.</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Upon recently learning of allegations regarding Mr. Smith’s personal conduct, the Audit Committee of the Board of Directors promptly launched an independent investigation with the assistance of outside counsel. Because the investigation revealed conduct that violated the Company’s Code of Business Conduct and Ethics and other policies, the Board concluded that Mr. Smith’s resignation was necessary. Regional leaders who already oversee the day-to-day business will report on an interim basis directly to Patrice Louvet,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RALPH LAUREN CORPORATION</w:t>
      </w:r>
    </w:p>
    <w:p>
      <w:pPr>
        <w:spacing w:after="0" w:line="229" w:lineRule="exact"/>
        <w:rPr>
          <w:sz w:val="20"/>
          <w:szCs w:val="20"/>
          <w:color w:val="auto"/>
        </w:rPr>
      </w:pPr>
    </w:p>
    <w:p>
      <w:pPr>
        <w:spacing w:after="0"/>
        <w:tabs>
          <w:tab w:leader="none" w:pos="5620" w:val="left"/>
          <w:tab w:leader="none" w:pos="7640" w:val="left"/>
        </w:tabs>
        <w:rPr>
          <w:sz w:val="20"/>
          <w:szCs w:val="20"/>
          <w:color w:val="auto"/>
        </w:rPr>
      </w:pPr>
      <w:r>
        <w:rPr>
          <w:rFonts w:ascii="Arial" w:cs="Arial" w:eastAsia="Arial" w:hAnsi="Arial"/>
          <w:sz w:val="18"/>
          <w:szCs w:val="18"/>
          <w:color w:val="auto"/>
        </w:rPr>
        <w:t>Date: March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Hamilton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Jane Hamilton Nielsen</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Chief Operating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2022-03-02T07:32:29Z</dcterms:created>
  <dcterms:modified xsi:type="dcterms:W3CDTF">2022-03-02T07:32:29Z</dcterms:modified>
</cp:coreProperties>
</file>