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27,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001-13057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Ralph Lauren Corporation </w:t>
      </w:r>
    </w:p>
    <w:p>
      <w:pPr>
        <w:pStyle w:val="TextBody"/>
        <w:bidi w:val="0"/>
        <w:spacing w:lineRule="auto" w:line="288" w:before="60" w:after="283"/>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4540" w:type="dxa"/>
        <w:jc w:val="left"/>
        <w:tblInd w:w="0" w:type="dxa"/>
        <w:tblLayout w:type="fixed"/>
        <w:tblCellMar>
          <w:top w:w="28" w:type="dxa"/>
          <w:left w:w="28" w:type="dxa"/>
          <w:bottom w:w="28" w:type="dxa"/>
          <w:right w:w="28" w:type="dxa"/>
        </w:tblCellMar>
      </w:tblPr>
      <w:tblGrid>
        <w:gridCol w:w="514"/>
        <w:gridCol w:w="451"/>
        <w:gridCol w:w="451"/>
        <w:gridCol w:w="451"/>
        <w:gridCol w:w="451"/>
        <w:gridCol w:w="470"/>
        <w:gridCol w:w="109"/>
        <w:gridCol w:w="109"/>
        <w:gridCol w:w="109"/>
        <w:gridCol w:w="416"/>
        <w:gridCol w:w="416"/>
        <w:gridCol w:w="593"/>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7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13-2622036</w:t>
            </w:r>
          </w:p>
        </w:tc>
      </w:tr>
      <w:tr>
        <w:trPr/>
        <w:tc>
          <w:tcPr>
            <w:tcW w:w="27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w:t>
              <w:br/>
              <w:t>Identification No.)</w:t>
            </w:r>
          </w:p>
        </w:tc>
      </w:tr>
      <w:tr>
        <w:trPr/>
        <w:tc>
          <w:tcPr>
            <w:tcW w:w="27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 Madison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10022</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r>
        <w:trPr/>
        <w:tc>
          <w:tcPr>
            <w:tcW w:w="27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(212) 318-7000 </w:t>
      </w:r>
    </w:p>
    <w:p>
      <w:pPr>
        <w:pStyle w:val="TextBody"/>
        <w:bidi w:val="0"/>
        <w:spacing w:lineRule="auto" w:line="288" w:before="60" w:after="283"/>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372" w:type="dxa"/>
        <w:jc w:val="left"/>
        <w:tblInd w:w="0" w:type="dxa"/>
        <w:tblLayout w:type="fixed"/>
        <w:tblCellMar>
          <w:top w:w="28" w:type="dxa"/>
          <w:left w:w="28" w:type="dxa"/>
          <w:bottom w:w="28" w:type="dxa"/>
          <w:right w:w="28" w:type="dxa"/>
        </w:tblCellMar>
      </w:tblPr>
      <w:tblGrid>
        <w:gridCol w:w="1223"/>
        <w:gridCol w:w="1080"/>
        <w:gridCol w:w="1087"/>
        <w:gridCol w:w="484"/>
        <w:gridCol w:w="484"/>
        <w:gridCol w:w="486"/>
        <w:gridCol w:w="109"/>
        <w:gridCol w:w="1000"/>
        <w:gridCol w:w="1000"/>
        <w:gridCol w:w="1419"/>
      </w:tblGrid>
      <w:tr>
        <w:trPr/>
        <w:tc>
          <w:tcPr>
            <w:tcW w:w="122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RL</w:t>
            </w:r>
          </w:p>
        </w:tc>
        <w:tc>
          <w:tcPr>
            <w:tcW w:w="109" w:type="dxa"/>
            <w:tcBorders/>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July 31, 2026, 37,700,963 shares of the registrant's Class A common stock, $.01 par value, and 21,881,276 shares of the registrant's Class B common stock, $.01 par value,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28650"/>
                <wp:effectExtent l="0" t="0" r="0" b="0"/>
                <wp:wrapNone/>
                <wp:docPr id="1" name="Frame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70"/>
        <w:gridCol w:w="409"/>
        <w:gridCol w:w="397"/>
        <w:gridCol w:w="2362"/>
        <w:gridCol w:w="2343"/>
        <w:gridCol w:w="2331"/>
        <w:gridCol w:w="544"/>
        <w:gridCol w:w="544"/>
        <w:gridCol w:w="805"/>
      </w:tblGrid>
      <w:tr>
        <w:trPr/>
        <w:tc>
          <w:tcPr>
            <w:tcW w:w="47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FINANCIAL INFORMATION (Unaudited)</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0">
              <w:r>
                <w:rPr>
                  <w:rStyle w:val="InternetLink"/>
                  <w:rFonts w:ascii="Times New Roman;serif" w:hAnsi="Times New Roman;serif"/>
                  <w:b w:val="false"/>
                  <w:color w:val="0000FF"/>
                  <w:sz w:val="20"/>
                  <w:u w:val="single"/>
                </w:rPr>
                <w:t>Consolidated Balance Sheets</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0">
              <w:r>
                <w:rPr>
                  <w:rStyle w:val="InternetLink"/>
                  <w:rFonts w:ascii="Times New Roman;serif" w:hAnsi="Times New Roman;serif"/>
                  <w:b w:val="false"/>
                  <w:color w:val="0000FF"/>
                  <w:sz w:val="20"/>
                  <w:u w:val="single"/>
                </w:rPr>
                <w:t>2</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3">
              <w:r>
                <w:rPr>
                  <w:rStyle w:val="InternetLink"/>
                  <w:rFonts w:ascii="Times New Roman;serif" w:hAnsi="Times New Roman;serif"/>
                  <w:b w:val="false"/>
                  <w:color w:val="0000FF"/>
                  <w:sz w:val="20"/>
                  <w:u w:val="single"/>
                </w:rPr>
                <w:t>Consolidated Statements of Operations</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3">
              <w:r>
                <w:rPr>
                  <w:rStyle w:val="InternetLink"/>
                  <w:rFonts w:ascii="Times New Roman;serif" w:hAnsi="Times New Roman;serif"/>
                  <w:b w:val="false"/>
                  <w:color w:val="0000FF"/>
                  <w:sz w:val="20"/>
                  <w:u w:val="single"/>
                </w:rPr>
                <w:t>3</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6">
              <w:r>
                <w:rPr>
                  <w:rStyle w:val="InternetLink"/>
                  <w:rFonts w:ascii="Times New Roman;serif" w:hAnsi="Times New Roman;serif"/>
                  <w:b w:val="false"/>
                  <w:color w:val="0000FF"/>
                  <w:sz w:val="20"/>
                  <w:u w:val="single"/>
                </w:rPr>
                <w:t>Consolidated Statements of Comprehensive Income</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6">
              <w:r>
                <w:rPr>
                  <w:rStyle w:val="InternetLink"/>
                  <w:rFonts w:ascii="Times New Roman;serif" w:hAnsi="Times New Roman;serif"/>
                  <w:b w:val="false"/>
                  <w:color w:val="0000FF"/>
                  <w:sz w:val="20"/>
                  <w:u w:val="single"/>
                </w:rPr>
                <w:t>4</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9">
              <w:r>
                <w:rPr>
                  <w:rStyle w:val="InternetLink"/>
                  <w:rFonts w:ascii="Times New Roman;serif" w:hAnsi="Times New Roman;serif"/>
                  <w:b w:val="false"/>
                  <w:color w:val="0000FF"/>
                  <w:sz w:val="20"/>
                  <w:u w:val="single"/>
                </w:rPr>
                <w:t>Consolidated Statements of Cash Flows</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9">
              <w:r>
                <w:rPr>
                  <w:rStyle w:val="InternetLink"/>
                  <w:rFonts w:ascii="Times New Roman;serif" w:hAnsi="Times New Roman;serif"/>
                  <w:b w:val="false"/>
                  <w:color w:val="0000FF"/>
                  <w:sz w:val="20"/>
                  <w:u w:val="single"/>
                </w:rPr>
                <w:t>5</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22">
              <w:r>
                <w:rPr>
                  <w:rStyle w:val="InternetLink"/>
                  <w:rFonts w:ascii="Times New Roman;serif" w:hAnsi="Times New Roman;serif"/>
                  <w:b w:val="false"/>
                  <w:color w:val="0000FF"/>
                  <w:sz w:val="20"/>
                  <w:u w:val="single"/>
                </w:rPr>
                <w:t>Consolidated Statements of Equity</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22">
              <w:r>
                <w:rPr>
                  <w:rStyle w:val="InternetLink"/>
                  <w:rFonts w:ascii="Times New Roman;serif" w:hAnsi="Times New Roman;serif"/>
                  <w:b w:val="false"/>
                  <w:color w:val="0000FF"/>
                  <w:sz w:val="20"/>
                  <w:u w:val="single"/>
                </w:rPr>
                <w:t>6</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28">
              <w:r>
                <w:rPr>
                  <w:rStyle w:val="InternetLink"/>
                  <w:rFonts w:ascii="Times New Roman;serif" w:hAnsi="Times New Roman;serif"/>
                  <w:b w:val="false"/>
                  <w:color w:val="0000FF"/>
                  <w:sz w:val="20"/>
                  <w:u w:val="single"/>
                </w:rPr>
                <w:t>Notes to Consolidated Financial Statements</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28">
              <w:r>
                <w:rPr>
                  <w:rStyle w:val="InternetLink"/>
                  <w:rFonts w:ascii="Times New Roman;serif" w:hAnsi="Times New Roman;serif"/>
                  <w:b w:val="false"/>
                  <w:color w:val="0000FF"/>
                  <w:sz w:val="20"/>
                  <w:u w:val="single"/>
                </w:rPr>
                <w:t>7</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91">
              <w:r>
                <w:rPr>
                  <w:rStyle w:val="InternetLink"/>
                  <w:rFonts w:ascii="Times New Roman;serif" w:hAnsi="Times New Roman;serif"/>
                  <w:b w:val="false"/>
                  <w:color w:val="0000FF"/>
                  <w:sz w:val="20"/>
                  <w:u w:val="single"/>
                </w:rPr>
                <w:t>32</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18">
              <w:r>
                <w:rPr>
                  <w:rStyle w:val="InternetLink"/>
                  <w:rFonts w:ascii="Times New Roman;serif" w:hAnsi="Times New Roman;serif"/>
                  <w:b w:val="false"/>
                  <w:color w:val="0000FF"/>
                  <w:sz w:val="20"/>
                  <w:u w:val="single"/>
                </w:rPr>
                <w:t>Quantitative and Qualitative Disclosures about Market Risk</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18">
              <w:r>
                <w:rPr>
                  <w:rStyle w:val="InternetLink"/>
                  <w:rFonts w:ascii="Times New Roman;serif" w:hAnsi="Times New Roman;serif"/>
                  <w:b w:val="false"/>
                  <w:color w:val="0000FF"/>
                  <w:sz w:val="20"/>
                  <w:u w:val="single"/>
                </w:rPr>
                <w:t>49</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21">
              <w:r>
                <w:rPr>
                  <w:rStyle w:val="InternetLink"/>
                  <w:rFonts w:ascii="Times New Roman;serif" w:hAnsi="Times New Roman;serif"/>
                  <w:b w:val="false"/>
                  <w:color w:val="0000FF"/>
                  <w:sz w:val="20"/>
                  <w:u w:val="single"/>
                </w:rPr>
                <w:t>Controls and Procedures</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21">
              <w:r>
                <w:rPr>
                  <w:rStyle w:val="InternetLink"/>
                  <w:rFonts w:ascii="Times New Roman;serif" w:hAnsi="Times New Roman;serif"/>
                  <w:b w:val="false"/>
                  <w:color w:val="0000FF"/>
                  <w:sz w:val="20"/>
                  <w:u w:val="single"/>
                </w:rPr>
                <w:t>49</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27">
              <w:r>
                <w:rPr>
                  <w:rStyle w:val="InternetLink"/>
                  <w:rFonts w:ascii="Times New Roman;serif" w:hAnsi="Times New Roman;serif"/>
                  <w:b w:val="false"/>
                  <w:color w:val="0000FF"/>
                  <w:sz w:val="20"/>
                  <w:u w:val="single"/>
                </w:rPr>
                <w:t>Legal Proceedings</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27">
              <w:r>
                <w:rPr>
                  <w:rStyle w:val="InternetLink"/>
                  <w:rFonts w:ascii="Times New Roman;serif" w:hAnsi="Times New Roman;serif"/>
                  <w:b w:val="false"/>
                  <w:color w:val="0000FF"/>
                  <w:sz w:val="20"/>
                  <w:u w:val="single"/>
                </w:rPr>
                <w:t>50</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    </w:t>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30">
              <w:r>
                <w:rPr>
                  <w:rStyle w:val="InternetLink"/>
                  <w:rFonts w:ascii="Times New Roman;serif" w:hAnsi="Times New Roman;serif"/>
                  <w:b w:val="false"/>
                  <w:color w:val="0000FF"/>
                  <w:sz w:val="20"/>
                  <w:u w:val="single"/>
                </w:rPr>
                <w:t>Risk Factors</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30">
              <w:r>
                <w:rPr>
                  <w:rStyle w:val="InternetLink"/>
                  <w:rFonts w:ascii="Times New Roman;serif" w:hAnsi="Times New Roman;serif"/>
                  <w:b w:val="false"/>
                  <w:color w:val="0000FF"/>
                  <w:sz w:val="20"/>
                  <w:u w:val="single"/>
                </w:rPr>
                <w:t>50</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33">
              <w:r>
                <w:rPr>
                  <w:rStyle w:val="InternetLink"/>
                  <w:rFonts w:ascii="Times New Roman;serif" w:hAnsi="Times New Roman;serif"/>
                  <w:b w:val="false"/>
                  <w:color w:val="0000FF"/>
                  <w:sz w:val="20"/>
                  <w:u w:val="single"/>
                </w:rPr>
                <w:t>Unregistered Sales of Equity Securities and Use of Proceeds</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33">
              <w:r>
                <w:rPr>
                  <w:rStyle w:val="InternetLink"/>
                  <w:rFonts w:ascii="Times New Roman;serif" w:hAnsi="Times New Roman;serif"/>
                  <w:b w:val="false"/>
                  <w:color w:val="0000FF"/>
                  <w:sz w:val="20"/>
                  <w:u w:val="single"/>
                </w:rPr>
                <w:t>50</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36">
              <w:r>
                <w:rPr>
                  <w:rStyle w:val="InternetLink"/>
                  <w:rFonts w:ascii="Times New Roman;serif" w:hAnsi="Times New Roman;serif"/>
                  <w:b w:val="false"/>
                  <w:color w:val="0000FF"/>
                  <w:sz w:val="20"/>
                  <w:u w:val="single"/>
                </w:rPr>
                <w:t>Other Information</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36">
              <w:r>
                <w:rPr>
                  <w:rStyle w:val="InternetLink"/>
                  <w:rFonts w:ascii="Times New Roman;serif" w:hAnsi="Times New Roman;serif"/>
                  <w:b w:val="false"/>
                  <w:color w:val="0000FF"/>
                  <w:sz w:val="20"/>
                  <w:u w:val="single"/>
                </w:rPr>
                <w:t>50</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39">
              <w:r>
                <w:rPr>
                  <w:rStyle w:val="InternetLink"/>
                  <w:rFonts w:ascii="Times New Roman;serif" w:hAnsi="Times New Roman;serif"/>
                  <w:b w:val="false"/>
                  <w:color w:val="0000FF"/>
                  <w:sz w:val="20"/>
                  <w:u w:val="single"/>
                </w:rPr>
                <w:t>Exhibits</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39">
              <w:r>
                <w:rPr>
                  <w:rStyle w:val="InternetLink"/>
                  <w:rFonts w:ascii="Times New Roman;serif" w:hAnsi="Times New Roman;serif"/>
                  <w:b w:val="false"/>
                  <w:color w:val="0000FF"/>
                  <w:sz w:val="20"/>
                  <w:u w:val="single"/>
                </w:rPr>
                <w:t>51</w:t>
              </w:r>
            </w:hyperlink>
          </w:p>
        </w:tc>
      </w:tr>
      <w:tr>
        <w:trPr/>
        <w:tc>
          <w:tcPr>
            <w:tcW w:w="83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054234b95f34bf2b326fb732a5d0e09_142">
              <w:r>
                <w:rPr>
                  <w:rStyle w:val="InternetLink"/>
                  <w:rFonts w:ascii="Times New Roman;serif" w:hAnsi="Times New Roman;serif"/>
                  <w:b w:val="false"/>
                  <w:color w:val="0000FF"/>
                  <w:sz w:val="20"/>
                  <w:u w:val="single"/>
                </w:rPr>
                <w:t>Signatures</w:t>
              </w:r>
            </w:hyperlink>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4234b95f34bf2b326fb732a5d0e09_142">
              <w:r>
                <w:rPr>
                  <w:rStyle w:val="InternetLink"/>
                  <w:rFonts w:ascii="Times New Roman;serif" w:hAnsi="Times New Roman;serif"/>
                  <w:b w:val="false"/>
                  <w:color w:val="0000FF"/>
                  <w:sz w:val="20"/>
                  <w:u w:val="single"/>
                </w:rPr>
                <w:t>52</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8650"/>
                <wp:effectExtent l="0" t="0" r="0" b="0"/>
                <wp:wrapNone/>
                <wp:docPr id="2" name="Frame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81"/>
        <w:gridCol w:w="2279"/>
        <w:gridCol w:w="2272"/>
        <w:gridCol w:w="109"/>
        <w:gridCol w:w="109"/>
        <w:gridCol w:w="109"/>
        <w:gridCol w:w="211"/>
        <w:gridCol w:w="766"/>
        <w:gridCol w:w="109"/>
        <w:gridCol w:w="109"/>
        <w:gridCol w:w="109"/>
        <w:gridCol w:w="109"/>
        <w:gridCol w:w="211"/>
        <w:gridCol w:w="766"/>
        <w:gridCol w:w="156"/>
      </w:tblGrid>
      <w:tr>
        <w:trPr/>
        <w:tc>
          <w:tcPr>
            <w:tcW w:w="2781"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w:t>
              <w:br/>
              <w:t>2026</w:t>
            </w:r>
          </w:p>
        </w:tc>
      </w:tr>
      <w:tr>
        <w:trPr/>
        <w:tc>
          <w:tcPr>
            <w:tcW w:w="7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ASSETS</w:t>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Short-term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Accounts receivable, net of allowances of $205.3 million and $228.7 million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Inventories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Income tax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Prepaid expenses and other current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Total current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Property and equipment,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Operating lease 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Deferred tax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Goodwill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Intangible assets,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non-current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Total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7,739.5 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LIABILITIES AND EQUITY</w:t>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Accounts payable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Current income tax payable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Current operating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Accrued expenses and other 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Total current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Long-term finance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Long-term operating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Non-current liability for unrecognized tax benefits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non-current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Total liabilities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 xml:space="preserve">Class A common stock, par value $.01 per share; 113.9 million and 113.5 million shares issued; 37.7 million and 38.2 million shares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Class B common stock, par value $.01 per share; 21.9 million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Additional paid-in-capital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Retained earnings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8,310.6 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Treasury stock, Class A, at cost; 76.2 million and 75.3 million 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(8,361.9)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Accumulated other comprehensive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Total equity</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Total liabilities and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7,739.5 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8650"/>
                <wp:effectExtent l="0" t="0" r="0" b="0"/>
                <wp:wrapNone/>
                <wp:docPr id="3"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10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7895" w:type="dxa"/>
        <w:jc w:val="left"/>
        <w:tblInd w:w="0" w:type="dxa"/>
        <w:tblLayout w:type="fixed"/>
        <w:tblCellMar>
          <w:top w:w="28" w:type="dxa"/>
          <w:left w:w="28" w:type="dxa"/>
          <w:bottom w:w="28" w:type="dxa"/>
          <w:right w:w="28" w:type="dxa"/>
        </w:tblCellMar>
      </w:tblPr>
      <w:tblGrid>
        <w:gridCol w:w="1497"/>
        <w:gridCol w:w="1316"/>
        <w:gridCol w:w="1326"/>
        <w:gridCol w:w="109"/>
        <w:gridCol w:w="109"/>
        <w:gridCol w:w="109"/>
        <w:gridCol w:w="109"/>
        <w:gridCol w:w="109"/>
        <w:gridCol w:w="146"/>
        <w:gridCol w:w="146"/>
        <w:gridCol w:w="284"/>
        <w:gridCol w:w="1031"/>
        <w:gridCol w:w="146"/>
        <w:gridCol w:w="109"/>
        <w:gridCol w:w="109"/>
        <w:gridCol w:w="109"/>
        <w:gridCol w:w="211"/>
        <w:gridCol w:w="766"/>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458" w:type="dxa"/>
            <w:gridSpan w:val="6"/>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 except per share data)</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Net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profit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charges,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other operating expenses, net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Operating income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Income before income taxes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income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declared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0.9125 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8650"/>
                <wp:effectExtent l="0" t="0" r="0" b="0"/>
                <wp:wrapNone/>
                <wp:docPr id="4"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10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7611" w:type="dxa"/>
        <w:jc w:val="left"/>
        <w:tblInd w:w="0" w:type="dxa"/>
        <w:tblLayout w:type="fixed"/>
        <w:tblCellMar>
          <w:top w:w="28" w:type="dxa"/>
          <w:left w:w="28" w:type="dxa"/>
          <w:bottom w:w="28" w:type="dxa"/>
          <w:right w:w="28" w:type="dxa"/>
        </w:tblCellMar>
      </w:tblPr>
      <w:tblGrid>
        <w:gridCol w:w="1446"/>
        <w:gridCol w:w="1271"/>
        <w:gridCol w:w="1288"/>
        <w:gridCol w:w="109"/>
        <w:gridCol w:w="109"/>
        <w:gridCol w:w="109"/>
        <w:gridCol w:w="109"/>
        <w:gridCol w:w="109"/>
        <w:gridCol w:w="165"/>
        <w:gridCol w:w="165"/>
        <w:gridCol w:w="321"/>
        <w:gridCol w:w="937"/>
        <w:gridCol w:w="165"/>
        <w:gridCol w:w="109"/>
        <w:gridCol w:w="109"/>
        <w:gridCol w:w="109"/>
        <w:gridCol w:w="211"/>
        <w:gridCol w:w="616"/>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income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gains (losses)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gains (losses) on cash flow hedges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gains (losses) on defined benefit plans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comprehensive income (loss), net of tax</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comprehensive income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28650"/>
                <wp:effectExtent l="0" t="0" r="0" b="0"/>
                <wp:wrapNone/>
                <wp:docPr id="5"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10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9606" w:type="dxa"/>
        <w:jc w:val="left"/>
        <w:tblInd w:w="0" w:type="dxa"/>
        <w:tblLayout w:type="fixed"/>
        <w:tblCellMar>
          <w:top w:w="28" w:type="dxa"/>
          <w:left w:w="28" w:type="dxa"/>
          <w:bottom w:w="28" w:type="dxa"/>
          <w:right w:w="28" w:type="dxa"/>
        </w:tblCellMar>
      </w:tblPr>
      <w:tblGrid>
        <w:gridCol w:w="2435"/>
        <w:gridCol w:w="2143"/>
        <w:gridCol w:w="2157"/>
        <w:gridCol w:w="109"/>
        <w:gridCol w:w="109"/>
        <w:gridCol w:w="109"/>
        <w:gridCol w:w="211"/>
        <w:gridCol w:w="766"/>
        <w:gridCol w:w="109"/>
        <w:gridCol w:w="109"/>
        <w:gridCol w:w="109"/>
        <w:gridCol w:w="109"/>
        <w:gridCol w:w="211"/>
        <w:gridCol w:w="76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Depreciation and amortization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Deferred income tax expense (benefit)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non-cash charges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Accounts receivable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Inventories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Prepaid expenses and other current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Accounts payable and accrued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Income tax receivables and payables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Operating lease right-of-use assets and liabilities,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balance sheet changes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Net cash provided by operating activities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Capital expenditures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Purchases of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Proceeds from sales and maturities of investments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investing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Net cash used in investing activities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the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Payments of finance lease obligations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Payments of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Repurchases of common stock, including shares surrendered for tax withholdings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Net cash (used in) provided by financing activities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Effect of exchange rate changes on cash, cash equivalents, and restricted 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(decrease) increase in cash, cash equivalents, and 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Cash, cash equivalents, and restricted cash at beginning of period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Cash, cash equivalents, and restricted cash at end of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19"/>
        </w:rPr>
      </w:pPr>
      <w:r>
        <w:rPr>
          <w:rFonts w:ascii="Times New Roman;serif" w:hAnsi="Times New Roman;serif"/>
          <w:b w:val="false"/>
          <w:color w:val="000000"/>
          <w:sz w:val="19"/>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28650"/>
                <wp:effectExtent l="0" t="0" r="0" b="0"/>
                <wp:wrapNone/>
                <wp:docPr id="6"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10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872" w:type="dxa"/>
        <w:jc w:val="center"/>
        <w:tblInd w:w="0" w:type="dxa"/>
        <w:tblLayout w:type="fixed"/>
        <w:tblCellMar>
          <w:top w:w="28" w:type="dxa"/>
          <w:left w:w="28" w:type="dxa"/>
          <w:bottom w:w="28" w:type="dxa"/>
          <w:right w:w="28" w:type="dxa"/>
        </w:tblCellMar>
      </w:tblPr>
      <w:tblGrid>
        <w:gridCol w:w="656"/>
        <w:gridCol w:w="287"/>
        <w:gridCol w:w="288"/>
        <w:gridCol w:w="109"/>
        <w:gridCol w:w="109"/>
        <w:gridCol w:w="109"/>
        <w:gridCol w:w="278"/>
        <w:gridCol w:w="278"/>
        <w:gridCol w:w="196"/>
        <w:gridCol w:w="109"/>
        <w:gridCol w:w="109"/>
        <w:gridCol w:w="109"/>
        <w:gridCol w:w="198"/>
        <w:gridCol w:w="381"/>
        <w:gridCol w:w="112"/>
        <w:gridCol w:w="109"/>
        <w:gridCol w:w="109"/>
        <w:gridCol w:w="109"/>
        <w:gridCol w:w="196"/>
        <w:gridCol w:w="691"/>
        <w:gridCol w:w="109"/>
        <w:gridCol w:w="109"/>
        <w:gridCol w:w="109"/>
        <w:gridCol w:w="109"/>
        <w:gridCol w:w="196"/>
        <w:gridCol w:w="691"/>
        <w:gridCol w:w="109"/>
        <w:gridCol w:w="109"/>
        <w:gridCol w:w="109"/>
        <w:gridCol w:w="109"/>
        <w:gridCol w:w="233"/>
        <w:gridCol w:w="233"/>
        <w:gridCol w:w="196"/>
        <w:gridCol w:w="109"/>
        <w:gridCol w:w="109"/>
        <w:gridCol w:w="109"/>
        <w:gridCol w:w="196"/>
        <w:gridCol w:w="706"/>
        <w:gridCol w:w="109"/>
        <w:gridCol w:w="109"/>
        <w:gridCol w:w="109"/>
        <w:gridCol w:w="109"/>
        <w:gridCol w:w="196"/>
        <w:gridCol w:w="571"/>
        <w:gridCol w:w="109"/>
        <w:gridCol w:w="109"/>
        <w:gridCol w:w="109"/>
        <w:gridCol w:w="109"/>
        <w:gridCol w:w="196"/>
        <w:gridCol w:w="691"/>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27, 2026</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br/>
              <w:t>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AOCI</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(millions)</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Balance at March 28, 2026</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Dividends declared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Repurchases of common stock, including excise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Shares issued pursuant to stock-based compensation plans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Balance at June 27, 2026</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2025</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br/>
              <w:t>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AOCI</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(millions)</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Balance at March 29, 2025</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Dividends declared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Repurchases of common stock, including excise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Shares issued pursuant to stock-based compensation plans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Balance at June 28, 2025</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both"/>
        <w:rPr/>
      </w:pPr>
      <w:r>
        <w:rPr>
          <w:rFonts w:ascii="Times New Roman;serif" w:hAnsi="Times New Roman;serif"/>
          <w:b/>
          <w:color w:val="000000"/>
          <w:sz w:val="12"/>
        </w:rPr>
        <w:t>(a)</w:t>
      </w:r>
      <w:r>
        <w:rPr>
          <w:rFonts w:ascii="Times New Roman;serif" w:hAnsi="Times New Roman;serif"/>
          <w:b w:val="false"/>
          <w:color w:val="000000"/>
          <w:sz w:val="19"/>
        </w:rPr>
        <w:t>Includes Class A and Class B common stock.</w:t>
      </w:r>
    </w:p>
    <w:p>
      <w:pPr>
        <w:pStyle w:val="TextBody"/>
        <w:bidi w:val="0"/>
        <w:spacing w:lineRule="auto" w:line="288" w:before="60" w:after="60"/>
        <w:ind w:left="0" w:right="0" w:hanging="540"/>
        <w:jc w:val="both"/>
        <w:rPr/>
      </w:pPr>
      <w:r>
        <w:rPr>
          <w:rFonts w:ascii="Times New Roman;serif" w:hAnsi="Times New Roman;serif"/>
          <w:b/>
          <w:color w:val="000000"/>
          <w:sz w:val="12"/>
        </w:rPr>
        <w:t>(b)</w:t>
      </w:r>
      <w:r>
        <w:rPr>
          <w:rFonts w:ascii="Times New Roman;serif" w:hAnsi="Times New Roman;serif"/>
          <w:b w:val="false"/>
          <w:color w:val="000000"/>
          <w:sz w:val="19"/>
        </w:rPr>
        <w:t>Accumulated other comprehensive income (loss).</w:t>
      </w:r>
    </w:p>
    <w:p>
      <w:pPr>
        <w:pStyle w:val="TextBody"/>
        <w:bidi w:val="0"/>
        <w:spacing w:lineRule="auto" w:line="288" w:before="240" w:after="283"/>
        <w:jc w:val="center"/>
        <w:rPr>
          <w:rFonts w:ascii="Times New Roman;serif" w:hAnsi="Times New Roman;serif"/>
          <w:b w:val="false"/>
          <w:color w:val="000000"/>
          <w:sz w:val="19"/>
        </w:rPr>
      </w:pPr>
      <w:r>
        <w:rPr>
          <w:rFonts w:ascii="Times New Roman;serif" w:hAnsi="Times New Roman;serif"/>
          <w:b w:val="false"/>
          <w:color w:val="000000"/>
          <w:sz w:val="19"/>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8650"/>
                <wp:effectExtent l="0" t="0" r="0" b="0"/>
                <wp:wrapNone/>
                <wp:docPr id="7" name="Frame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millions, except per share data and where otherwise indicated)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Ralph Lauren Corporation ("RLC") is a global leader in the design, marketing, and distribution of luxury lifestyle products, including apparel, handbags, footwear &amp; accessories, fragrances, home, and hospitality. RLC's long-standing reputation and distinctive image have been developed across a wide range of products, brands, distribution channels, and international markets. RLC's brand names include Ralph Lauren, Ralph Lauren Collection, Ralph Lauren Purple Label, Double RL, Polo Ralph Lauren, Lauren Ralph Lauren, RLX Ralph Lauren, Polo Ralph Lauren Children, and Chaps, among others. RLC and its subsidiaries are collectively referred to herein as the "Company," "we," "us," "our," and "ourselves," unless the context indicates otherwise.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diversifies its business by geography (North America, Europe, and Asia, among other regions) and channel of distribution (retail, wholesale, and licensing). This allows the Company to maintain a dynamic balance as its operating results do not depend solely on the performance of any single geographic area or channel of distribution. The Company sells directly to consumers through its integrated retail channel, which includes its retail stores, concession-based shop-within-shops, and digital commerce operations around the world. The Company's wholesale sales are made principally to major department stores, specialty stores, and third-party digital partners around the world, as well as to certain third-party-owned stores to which the Company has licensed the right to operate in defined geographic territories using its trademarks. In addition, the Company licenses to third parties for specified periods and geographies the right to access its various trademarks in connection with the licensees' manufacture and sale of designated products, such as certain apparel categories, eyewear, fragrances, and home furnishings.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organizes its business into the following three reportable segments: North America, Europe, and Asia. In addition to these reportable segments, the Company also has other non-reportable segments. See Note 16 for further discussion of the Company's segment reporting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2.    Basis of Presentation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Interim Financial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interim consolidated financial statements have been prepared in accordance with the rules and regulations of the Securities and Exchange Commission (the "SEC") and are unaudited. In the opinion of management, these consolidated financial statements contain all normal and recurring adjustments necessary to present fairly the consolidated financial position, income (loss), comprehensive income (loss), and cash flows of the Company for the interim periods presented. In addition, certain information and disclosures normally included in financial statements prepared in accordance with accounting principles generally accepted in the U.S. ("U.S. GAAP") and the notes thereto have been condensed or omitted from this report as is permitted by the SEC's rules and regulations. However, the Company believes that the disclosures provided herein are adequate to prevent the information presented from being misleading.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report should be read in conjunction with the Company's Annual Report on Form 10-K filed with the SEC for the fiscal year ended March 28, 2026 (the "Fiscal 2026 10-K").</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unaudited interim consolidated financial statements present the consolidated financial position, income (loss), comprehensive income (loss), and cash flows of the Company, including all entities in which the Company has a controlling financial interest and is determined to be the primary beneficiary. All significant intercompany balances and transactions have been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28650"/>
                <wp:effectExtent l="0" t="0" r="0" b="0"/>
                <wp:wrapNone/>
                <wp:docPr id="8" name="Frame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Fiscal Periods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utilizes a 52-53 week fiscal year ending on the Saturday closest to March 31. As such, fiscal year 2027 will end on April 3, 2027 and will be a 53-week period ("Fiscal 2027"). Fiscal year 2026 ended on March 28, 2026 and was a 52-week period ("Fiscal 2026"). The first quarter of Fiscal 2027 ended on June 27, 2026 and was a 13-week period. The first quarter of Fiscal 2026 ended on June 28, 2025 and was also a 13-week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certain estimates and assumptions that affect the amounts reported in the financial statements and notes thereto. Actual results could differ materially from those estimates.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estimates inherent in the preparation of the consolidated financial statements include reserves for customer bad debt, customer returns, discounts, end-of-season markdowns, operational chargebacks, and certain cooperative advertising allowances; the realizability of inventory; reserves for litigation and other contingencies; useful lives and impairments of long-lived tangible and intangible assets; fair value measurements; accounting for income taxes and related uncertain tax positions; valuation of stock-based compensation awards and related forfeiture rates; and reserves for restructuring activity, among others.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the prior periods' financial information to conform to the current period's presentation.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Seasonality of Business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business is typically affected by seasonal trends, with higher levels of retail sales in its second and third fiscal quarters and higher wholesale sales in its second and fourth fiscal quarters. These trends result primarily from the timing of key vacation travel, back-to-school, and holiday shopping periods impacting its retail business and the timing of seasonal wholesale shipments. As a result of changes in its business, consumer spending patterns, and the macroeconomic environment, including those resulting from pandemic diseases and other catastrophic events, historical quarterly operating trends and working capital requirements may not be indicative of the Company's future performance. In addition, fluctuations in sales, operating income (loss), and cash flows in any fiscal quarter may be affected by other events affecting retail sales, such as changes in weather patterns. Accordingly, the Company's operating results and cash flows for the three-month period ended June 27, 2026 are not necessarily indicative of the operating results and cash flows that may be expected for the full Fiscal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3.    Summary of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across all channels of the business when it satisfies its performance obligations by transferring control of promised products or services to its customers, which occurs either at a point in time or over time, depending on when the customer obtains the ability to direct the use of and obtain substantially all of the remaining benefits from the products or services. The amount of revenue recognized considers terms of sale that create variability in the amount of consideration that the Company ultimately expects to be entitled to receive in exchange for the products or services, and is subject to an overall constraint that a significant revenue reversal will not occur in future periods. Sales and other related taxes collected from customers and remitted to government authorities are excluded from revenue.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the Company's retail business is recognized when the customer takes physical possession of the products, which occurs either at the point of sale for merchandise purchased at the Company's own retail stores and shop-within-shop locations, or upon receipt of shipment for merchandise ordered through its direct-to-consumer digital commerce sites. Such revenues are recorded net of estimated returns based on historical trends. Payment is due at the point of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28650"/>
                <wp:effectExtent l="0" t="0" r="0" b="0"/>
                <wp:wrapNone/>
                <wp:docPr id="9"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Gift cards purchased by customers are recorded as a liability until they are redeemed for products sold by the Company's retail business, at which point revenue is recognized. The Company estimates and recognizes revenue for gift card balances not expected to ever be redeemed (referred to as "breakage") to the extent that it does not have a legal obligation to remit the value of such unredeemed gift cards to the relevant jurisdiction as unclaimed or abandoned property. Such estimates are based upon historical redemption trends, with breakage income recognized in proportion to the pattern of actual customer redemptions.</w:t>
      </w:r>
    </w:p>
    <w:p>
      <w:pPr>
        <w:pStyle w:val="TextBody"/>
        <w:bidi w:val="0"/>
        <w:spacing w:lineRule="auto" w:line="288" w:before="2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from the Company's wholesale business is generally recognized upon shipment of products, at which point title passes and risk of loss is transferred to the customer. In certain arrangements where the Company retains the risk of loss during shipment, revenue is recognized upon receipt of products by the customer. Wholesale revenue is recorded net of estimates of returns, discounts, end-of-season markdowns, operational chargebacks, and certain cooperative advertising allowances. Returns and allowances require pre-approval from management and discounts are based on trade terms. Estimates for end-of-season markdowns are based on historical trends, actual and forecasted seasonal results, an evaluation of current economic and market conditions, retailer performance, and, in certain cases, contractual terms. Estimates for operational chargebacks are based on actual customer notifications of order fulfillment discrepancies and historical trends. The Company reviews and refines these estimates on at least a quarterly basis. The Company's historical estimates of these amounts have not differed materially from actual results.</w:t>
      </w:r>
    </w:p>
    <w:p>
      <w:pPr>
        <w:pStyle w:val="TextBody"/>
        <w:bidi w:val="0"/>
        <w:spacing w:lineRule="auto" w:line="288" w:before="2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from the Company's licensing arrangements is recognized over time during the period that licensees are provided access to the Company's trademarks (i.e., symbolic intellectual property) and benefit from such access through their own sales of licensed products. These arrangements require licensees to pay a sales-based royalty which, for most arrangements, may be subject to a contractually-guaranteed minimum royalty amount. Payments are generally due quarterly and, depending on time of receipt, may be recorded as a deferred income liability until recognized as revenue. The Company recognizes revenue for sales-based royalty arrangements (including those for which the royalty exceeds any contractually-guaranteed minimum royalty amount) as licensed products are sold by the licensee. If a sales-based royalty is not ultimately expected to exceed a contractually-guaranteed minimum royalty amount, the minimum is generally recognized as revenue ratably over the respective contractual period. This sales-based output measure of progress and pattern of recognition best represents the value transferred to the licensee over the term of the arrangement, as well as the amount of consideration that the Company is entitled to receive in exchange for providing access to its trademarks. As of June 27, 2026, contractually-guaranteed minimum royalty amounts expected to be recognized as revenue during future periods were as follows:</w:t>
      </w:r>
    </w:p>
    <w:tbl>
      <w:tblPr>
        <w:tblW w:w="4648" w:type="dxa"/>
        <w:jc w:val="left"/>
        <w:tblInd w:w="0" w:type="dxa"/>
        <w:tblLayout w:type="fixed"/>
        <w:tblCellMar>
          <w:top w:w="28" w:type="dxa"/>
          <w:left w:w="28" w:type="dxa"/>
          <w:bottom w:w="28" w:type="dxa"/>
          <w:right w:w="28" w:type="dxa"/>
        </w:tblCellMar>
      </w:tblPr>
      <w:tblGrid>
        <w:gridCol w:w="803"/>
        <w:gridCol w:w="706"/>
        <w:gridCol w:w="711"/>
        <w:gridCol w:w="109"/>
        <w:gridCol w:w="109"/>
        <w:gridCol w:w="109"/>
        <w:gridCol w:w="451"/>
        <w:gridCol w:w="1319"/>
        <w:gridCol w:w="33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Contractually-Guaranteed</w:t>
            </w:r>
          </w:p>
          <w:p>
            <w:pPr>
              <w:pStyle w:val="TableContents"/>
              <w:bidi w:val="0"/>
              <w:spacing w:lineRule="auto" w:line="240" w:before="0" w:after="0"/>
              <w:jc w:val="center"/>
              <w:rPr/>
            </w:pPr>
            <w:r>
              <w:rPr>
                <w:rFonts w:ascii="Times New Roman;serif" w:hAnsi="Times New Roman;serif"/>
                <w:b/>
                <w:color w:val="000000"/>
                <w:sz w:val="16"/>
              </w:rPr>
              <w:t>Minimum Royalties</w:t>
            </w:r>
            <w:r>
              <w:rPr>
                <w:rFonts w:ascii="Times New Roman;serif" w:hAnsi="Times New Roman;serif"/>
                <w:b/>
                <w:color w:val="000000"/>
                <w:sz w:val="10"/>
              </w:rPr>
              <w:t>(a)</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Amounts presented do not contemplate potential contract renewals or royalties earned in excess of contractually-guaranteed minimums.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28650"/>
                <wp:effectExtent l="0" t="0" r="0" b="0"/>
                <wp:wrapNone/>
                <wp:docPr id="10"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2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Disaggregated Net Revenues</w:t>
      </w:r>
    </w:p>
    <w:p>
      <w:pPr>
        <w:pStyle w:val="TextBody"/>
        <w:bidi w:val="0"/>
        <w:spacing w:lineRule="auto" w:line="288" w:before="2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the Company's net revenues into categories that depict how the nature, amount, timing, and uncertainty of revenues and cash flows are affected by economic factors for the fiscal periods presented:</w:t>
      </w:r>
    </w:p>
    <w:tbl>
      <w:tblPr>
        <w:tblW w:w="12871" w:type="dxa"/>
        <w:jc w:val="left"/>
        <w:tblInd w:w="0" w:type="dxa"/>
        <w:tblLayout w:type="fixed"/>
        <w:tblCellMar>
          <w:top w:w="28" w:type="dxa"/>
          <w:left w:w="28" w:type="dxa"/>
          <w:bottom w:w="28" w:type="dxa"/>
          <w:right w:w="28" w:type="dxa"/>
        </w:tblCellMar>
      </w:tblPr>
      <w:tblGrid>
        <w:gridCol w:w="329"/>
        <w:gridCol w:w="263"/>
        <w:gridCol w:w="26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691"/>
        <w:gridCol w:w="154"/>
      </w:tblGrid>
      <w:tr>
        <w:trPr/>
        <w:tc>
          <w:tcPr>
            <w:tcW w:w="3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Sales Channel</w:t>
            </w:r>
            <w:r>
              <w:rPr>
                <w:rFonts w:ascii="Times New Roman;serif" w:hAnsi="Times New Roman;serif"/>
                <w:b/>
                <w:color w:val="000000"/>
                <w:sz w:val="12"/>
              </w:rPr>
              <w:t>(a)</w:t>
            </w: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Net revenues from the Company's retail and wholesale businesses are recognized at a point in time. Net revenues from the Company's licensing business are recognized over time.</w:t>
      </w:r>
    </w:p>
    <w:p>
      <w:pPr>
        <w:pStyle w:val="TextBody"/>
        <w:bidi w:val="0"/>
        <w:spacing w:lineRule="auto" w:line="288" w:before="300" w:after="283"/>
        <w:jc w:val="both"/>
        <w:rPr>
          <w:rFonts w:ascii="Times New Roman;serif" w:hAnsi="Times New Roman;serif"/>
          <w:b w:val="false"/>
          <w:i/>
          <w:color w:val="000000"/>
          <w:sz w:val="20"/>
        </w:rPr>
      </w:pPr>
      <w:r>
        <w:rPr>
          <w:rFonts w:ascii="Times New Roman;serif" w:hAnsi="Times New Roman;serif"/>
          <w:b w:val="false"/>
          <w:i/>
          <w:color w:val="000000"/>
          <w:sz w:val="20"/>
        </w:rPr>
        <w:t>Deferred Income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Deferred income represents cash payments received in advance of the Company's transfer of control of products or services to its customers and generally consists of unredeemed gift cards (net of estimated breakage) and advance royalty payments received from its licensees. The Company's deferred income balances were $19.7 million and $22.1 million as of June 27, 2026 and March 28, 2026, respectively, and were primarily recorded within accrued expenses and other current liabilities within the consolidated balance sheets. The majority of the deferred income balance as of June 27, 2026 is expected to be recognized as revenue within the next twelve months.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Shipping and Handling Costs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Costs associated with shipping goods to customers are accounted for as fulfillment activities and reflected as selling, general, and administrative ("SG&amp;A") expenses in the consolidated statements of operations. Costs associated with preparing merchandise for sale, such as picking, packing, warehousing, and order charges ("handling costs"), are included in SG&amp;A expenses. Shipping and handling costs billed to customers are included in revenue.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shipping and handling costs recognized during the fiscal periods presented is as follows:</w:t>
      </w:r>
    </w:p>
    <w:tbl>
      <w:tblPr>
        <w:tblW w:w="4686" w:type="dxa"/>
        <w:jc w:val="left"/>
        <w:tblInd w:w="0" w:type="dxa"/>
        <w:tblLayout w:type="fixed"/>
        <w:tblCellMar>
          <w:top w:w="28" w:type="dxa"/>
          <w:left w:w="28" w:type="dxa"/>
          <w:bottom w:w="28" w:type="dxa"/>
          <w:right w:w="28" w:type="dxa"/>
        </w:tblCellMar>
      </w:tblPr>
      <w:tblGrid>
        <w:gridCol w:w="482"/>
        <w:gridCol w:w="425"/>
        <w:gridCol w:w="428"/>
        <w:gridCol w:w="109"/>
        <w:gridCol w:w="109"/>
        <w:gridCol w:w="109"/>
        <w:gridCol w:w="109"/>
        <w:gridCol w:w="109"/>
        <w:gridCol w:w="166"/>
        <w:gridCol w:w="166"/>
        <w:gridCol w:w="323"/>
        <w:gridCol w:w="782"/>
        <w:gridCol w:w="166"/>
        <w:gridCol w:w="109"/>
        <w:gridCol w:w="109"/>
        <w:gridCol w:w="109"/>
        <w:gridCol w:w="211"/>
        <w:gridCol w:w="511"/>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203" w:type="dxa"/>
            <w:gridSpan w:val="6"/>
            <w:tcBorders/>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Shipping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Handling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Income per Common Share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net income per common share is computed by dividing net income attributable to common shares by the weighted-average number of common shares outstanding during the period. Weighted-average common shares outstanding include shares of the Company's Class A and Class B common stock. Diluted net income per common share adjusts basic net income per common share for the dilutive effects of outstanding restricted stock units ("RSUs") and any other potentially dilutive instruments and stock-based compensation awards using the treasury stock method, only for periods in which such effects are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8650"/>
                <wp:effectExtent l="0" t="0" r="0" b="0"/>
                <wp:wrapNone/>
                <wp:docPr id="11"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weighted-average number of common shares outstanding used to calculate basic net income per common share is reconciled to shares used to calculate diluted net income per common share as follows:</w:t>
      </w:r>
    </w:p>
    <w:tbl>
      <w:tblPr>
        <w:tblW w:w="5299" w:type="dxa"/>
        <w:jc w:val="left"/>
        <w:tblInd w:w="0" w:type="dxa"/>
        <w:tblLayout w:type="fixed"/>
        <w:tblCellMar>
          <w:top w:w="28" w:type="dxa"/>
          <w:left w:w="28" w:type="dxa"/>
          <w:bottom w:w="28" w:type="dxa"/>
          <w:right w:w="28" w:type="dxa"/>
        </w:tblCellMar>
      </w:tblPr>
      <w:tblGrid>
        <w:gridCol w:w="722"/>
        <w:gridCol w:w="634"/>
        <w:gridCol w:w="638"/>
        <w:gridCol w:w="109"/>
        <w:gridCol w:w="109"/>
        <w:gridCol w:w="109"/>
        <w:gridCol w:w="109"/>
        <w:gridCol w:w="109"/>
        <w:gridCol w:w="320"/>
        <w:gridCol w:w="320"/>
        <w:gridCol w:w="320"/>
        <w:gridCol w:w="320"/>
        <w:gridCol w:w="323"/>
        <w:gridCol w:w="109"/>
        <w:gridCol w:w="109"/>
        <w:gridCol w:w="109"/>
        <w:gridCol w:w="255"/>
        <w:gridCol w:w="256"/>
        <w:gridCol w:w="319"/>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157" w:type="dxa"/>
            <w:gridSpan w:val="6"/>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3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All earnings per share amounts are calculated using unrounded numbers. The Company has outstanding performance-based RSUs, which are included in the computation of diluted shares only to the extent that the respective underlying performance condition (i) has been satisfied as of the end of the reporting period or (ii) would be considered satisfied if the end of the reporting period was the end of the related contingency period and the result would be dilutive. As of both June 27, 2026 and June 28, 2025, there were 0.1 million of additional shares issuable contingent upon vesting of performance-based RSUs that were excluded from the diluted shares calculations.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40" w:after="283"/>
        <w:ind w:left="0" w:right="0" w:firstLine="540"/>
        <w:jc w:val="both"/>
        <w:rPr/>
      </w:pPr>
      <w:r>
        <w:rPr>
          <w:rFonts w:ascii="Times New Roman;serif" w:hAnsi="Times New Roman;serif"/>
          <w:b w:val="false"/>
          <w:color w:val="000000"/>
          <w:sz w:val="20"/>
        </w:rPr>
        <w:t>In the normal course of business, the Company extends credit to wholesale customers that satisfy certain defined credit criteria. Payment is generally due within 30 to 120 days and does not involve a significant financing component. Accounts receivable are recorded at amortized cost, which approximates fair value, and are presented in the consolidated balance sheets net of certain reserves and allowances. These reserves and allowances consist of (i) reserves for returns, discounts, end-of-season markdowns, operational chargebacks, and certain cooperative advertising allowances (see the "</w:t>
      </w:r>
      <w:r>
        <w:rPr>
          <w:rFonts w:ascii="Times New Roman;serif" w:hAnsi="Times New Roman;serif"/>
          <w:b w:val="false"/>
          <w:i/>
          <w:color w:val="000000"/>
          <w:sz w:val="20"/>
        </w:rPr>
        <w:t>Revenue Recognition</w:t>
      </w:r>
      <w:r>
        <w:rPr>
          <w:rFonts w:ascii="Times New Roman;serif" w:hAnsi="Times New Roman;serif"/>
          <w:b w:val="false"/>
          <w:color w:val="000000"/>
          <w:sz w:val="20"/>
        </w:rPr>
        <w:t>" section above for further discussion) and (ii) an allowance for doubtful accounts.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rollforward of activity in the Company's reserves for returns, discounts, end-of-season markdowns, operational chargebacks, and certain cooperative advertising allowances is presented as follows:</w:t>
      </w:r>
    </w:p>
    <w:tbl>
      <w:tblPr>
        <w:tblW w:w="8676" w:type="dxa"/>
        <w:jc w:val="left"/>
        <w:tblInd w:w="0" w:type="dxa"/>
        <w:tblLayout w:type="fixed"/>
        <w:tblCellMar>
          <w:top w:w="28" w:type="dxa"/>
          <w:left w:w="28" w:type="dxa"/>
          <w:bottom w:w="28" w:type="dxa"/>
          <w:right w:w="28" w:type="dxa"/>
        </w:tblCellMar>
      </w:tblPr>
      <w:tblGrid>
        <w:gridCol w:w="1891"/>
        <w:gridCol w:w="1660"/>
        <w:gridCol w:w="1669"/>
        <w:gridCol w:w="109"/>
        <w:gridCol w:w="109"/>
        <w:gridCol w:w="109"/>
        <w:gridCol w:w="109"/>
        <w:gridCol w:w="109"/>
        <w:gridCol w:w="151"/>
        <w:gridCol w:w="151"/>
        <w:gridCol w:w="293"/>
        <w:gridCol w:w="857"/>
        <w:gridCol w:w="151"/>
        <w:gridCol w:w="109"/>
        <w:gridCol w:w="109"/>
        <w:gridCol w:w="109"/>
        <w:gridCol w:w="211"/>
        <w:gridCol w:w="616"/>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reserve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charged against revenue to increase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 credited against customer accounts to decrease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reserve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 allowance for doubtful accounts is determined through analysis of accounts receivable aging, assessments of collectability based on evaluation of historical trends, the financial condition of the Company's customers and their ability to withstand prolonged periods of adverse economic conditions, and evaluation of the impact of current and forecasted economic and market conditions over the related asset's contractual life, among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12" name="Frame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rollforward of activity in the Company's allowance for doubtful accounts balance is presented as follows:</w:t>
      </w:r>
    </w:p>
    <w:tbl>
      <w:tblPr>
        <w:tblW w:w="8766" w:type="dxa"/>
        <w:jc w:val="left"/>
        <w:tblInd w:w="0" w:type="dxa"/>
        <w:tblLayout w:type="fixed"/>
        <w:tblCellMar>
          <w:top w:w="28" w:type="dxa"/>
          <w:left w:w="28" w:type="dxa"/>
          <w:bottom w:w="28" w:type="dxa"/>
          <w:right w:w="28" w:type="dxa"/>
        </w:tblCellMar>
      </w:tblPr>
      <w:tblGrid>
        <w:gridCol w:w="1962"/>
        <w:gridCol w:w="1721"/>
        <w:gridCol w:w="1732"/>
        <w:gridCol w:w="109"/>
        <w:gridCol w:w="109"/>
        <w:gridCol w:w="109"/>
        <w:gridCol w:w="109"/>
        <w:gridCol w:w="109"/>
        <w:gridCol w:w="166"/>
        <w:gridCol w:w="166"/>
        <w:gridCol w:w="323"/>
        <w:gridCol w:w="782"/>
        <w:gridCol w:w="166"/>
        <w:gridCol w:w="109"/>
        <w:gridCol w:w="109"/>
        <w:gridCol w:w="109"/>
        <w:gridCol w:w="211"/>
        <w:gridCol w:w="511"/>
        <w:gridCol w:w="154"/>
      </w:tblGrid>
      <w:tr>
        <w:trPr/>
        <w:tc>
          <w:tcPr>
            <w:tcW w:w="196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203" w:type="dxa"/>
            <w:gridSpan w:val="6"/>
            <w:tcBorders/>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reserve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Amount recorded to expense to increase reserve</w:t>
            </w:r>
            <w:r>
              <w:rPr>
                <w:rFonts w:ascii="Times New Roman;serif" w:hAnsi="Times New Roman;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 written-off against customer accounts to decrease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reserve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Amounts recorded as bad debt expense are included within SG&amp;A expenses in the consolidated statements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Concentration of Credit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sells its wholesale merchandise primarily to major department stores, specialty stores, and third-party digital partners around the world, and extends credit based on an evaluation of each customer's financial capacity and condition, usually without requiring collateral. For the Company's wholesale business, concentration of credit risk is relatively limited due to the large number of customers and their dispersion across many geographic areas. However, the Company has three key wholesale customers that generate significant sales volume. During Fiscal 2026, the Company's sales to these three customers accounted for approximately 11% of total net revenues. Approximately 70% of sales to the Company's three largest wholesale customers were related to its North America segment and approximately 30% were related to its Europe segment. As of June 27, 2026, these three customers accounted for approximately 23% of total gross accounts receivable.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holds inventory that is sold directly to consumers in its retail stores and through its digital commerce sites. The Company also holds inventory that is to be sold through its wholesale distribution channels to major department stores, specialty stores, and third-party digital partners. Substantially all of the Company's inventories consist of finished goods, which are reported at the lower of cost or estimated net realizable value, with cost determined on a weighted-average cost basis. Inventories held by the Company totaled $1.164 billion, $1.014 billion, and $1.222 billion as of June 27, 2026, March 28, 2026, and June 28, 2025,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Supplier Finance Program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supports a voluntary supplier finance program which provides certain of its inventory suppliers the opportunity, at their sole discretion, to sell their receivables due from the Company (which generally have 90-day payment terms) to a participating financial institution for a discounted payment amount made earlier than the payment terms stipulated between the Company and the supplier. The Company's vendor payment terms and amounts due are not impacted by a supplier's decision to participate in the program. The Company has not pledged any assets and does not provide guarantees under the supplier finance program. The Company's payment obligations outstanding under its supplier finance program were $268.4 million and $172.1 million as of June 27, 2026 and March 28, 2026, respectively, and were recorded within accounts payable in the consolidated balance sheets.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records derivative financial instruments on its consolidated balance sheets at fair value. Changes in the fair value of derivative instruments that are designated and qualify for hedge accounting are either (i) offset through earnings against the changes in fair value of the related hedged assets, liabilities, or firm commitments or (ii) recognized in equity as a component of accumulated other comprehensive income (loss) ("AOCI") until the hedged item is recognized in earnings, depending on whether the instrument is hedging against changes in fair value or cash flows and net investments,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Each derivative instrument that qualifies for hedge accounting is expected to be highly effective in offsetting the risk associated with the related exposure. For each instrument that is designated as a hedge, the Company documents the related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13"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objective and strategy, including identification of the hedging instrument, the hedged item, and the risk exposure, as well as how hedge effectiveness will be assessed over the instrument's term. To assess hedge effectiveness at the inception of a hedging relationship, the Company generally uses regression analysis, a statistical method, to evaluate how changes in the fair value of the derivative instrument are expected to offset changes in the fair value or cash flows of the related hedged item. The extent to which a hedging instrument has been and is expected to remain highly effective in achieving offsetting changes in fair value or cash flows is assessed by the Company on at least a quarterly basis.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Given its use of derivative instruments, the Company is exposed to the risk that counterparties to such contracts will fail to meet their contractual obligations. To mitigate such counterparty credit risk, the Company's policy is to only enter into contracts with carefully selected financial institutions based upon an evaluation of their credit ratings and certain other factors, adhering to established limits for credit exposure. The Company's established policies and procedures for mitigating credit risk include ongoing review and assessment of its counterparties' creditworthiness. The Company also enters into master netting arrangements with counterparties, when possible, to further mitigate credit risk. In the event of default or termination, these arrangements allow the Company to net-settle amounts payable and receivable related to multiple derivative transactions with the same counterparty. The master netting arrangements specify a number of events of default and termination, including the failure to make timely payments.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derivative instruments are recorded on its consolidated balance sheets on a gross basis. For cash flow reporting purposes, proceeds received or amounts paid upon the settlement of a derivative instrument are classified in the same manner as the related item being hedged, primarily within cash flows from operating activities for its forward foreign exchange contracts and within cash flows from investing activities for its cross-currency swap contracts, both as discussed below.</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Cash Flow Hedges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forward foreign currency exchange contracts to mitigate its risk related to exchange rate fluctuations on inventory transactions made in an entity's non-functional currency. To the extent designated as cash flow hedges, related gains or losses on such instruments are initially deferred in equity as a component of AOCI and are subsequently recognized within cost of goods sold in the consolidated statements of operations when the related inventory is sold.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 derivative instrument is dedesignated or if hedge accounting is discontinued because the instrument is not expected to be highly effective in hedging the designated exposure, any further gains (losses) are recognized in earnings each period within other income (expense), net. Upon discontinuance of hedge accounting, the cumulative change in fair value of the derivative instrument recorded in AOCI is recognized in earnings when the related hedged item affects earnings, consistent with the hedging strategy, unless the related forecasted transaction is probable of not occurring, in which case the accumulated amount is immediately recognized within other income (expense), net.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Hedges of Net Investments in Foreign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periodically uses cross-currency swap contracts to reduce risk associated with exchange rate fluctuations on certain of its net investments in foreign subsidiaries. Changes in the fair values of such derivative instruments that are designated as hedges of net investments in foreign operations are recorded in equity as a component of AOCI in the same manner as foreign currency translation adjustments. In assessing the effectiveness of such hedges, the Company uses a method based on changes in spot rates to measure the impact of foreign currency exchange rate fluctuations on both its foreign subsidiary net investment and the related hedging instrument. Under this method, changes in the fair value of the hedging instrument other than those due to changes in the spot rate are initially recorded in AOCI as a translation adjustment and are amortized into earnings as interest expense using a systematic and rational method over the instrument's term. Changes in fair value associated with the effective portion (i.e., those due to changes in the spot rate) are recorded in AOCI as a translation adjustment and are released and recognized in earnings only upon the sale or liquidation of the hedged net investment.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Undesignated Hedges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undesignated hedges primarily to hedge foreign currency exchange rate risk related to third-party and intercompany balances and exposures. Changes in the fair values of such instruments are recognized in earnings each period within other income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4" name="Frame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11 for further discussion of the Company's derivative financial instruments.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Note 3 of the Fiscal 2026 10-K for a summary of all of the Company's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4.    Recently Issued Accounting Standards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Accounting for and Disclosure of Software Costs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("FASB") issued Accounting Standards Update ("ASU") No. 2025-06, "Targeted Improvements to the Accounting for Internal-Use Software" ("ASU 2025-06"). Among its provisions, ASU 2025-06 modernizes and clarifies the threshold for when an entity is required to start capitalizing internal-use software costs, which occurs when (i) management has authorized and committed to funding a software project and (ii) it is probable that the project will be completed and the software will be used to perform the function intended. The guidance in ASU 2025-06, which can be applied prospectively, retrospectively, or via a modified transition approach, becomes effective for the Company beginning in its fiscal year ending March 31, 2029 ("Fiscal 2029"), with early adoption permitted. The Company is evaluating the impact that the guidance will have on its consolidated financial statements and related disclosures.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Disaggregation of Income Statement Expenses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"Disaggregation of Income Statement Expenses" ("ASU 2024-03"). ASU 2024-03 requires interim and annual tabular disclosure of disaggregated information for certain income statement expense captions. Specific expense categories required to be disclosed quantitatively include purchases of inventory, employee compensation, depreciation, and intangible asset amortization, as well as certain other specified expense categories currently disclosed under existing disclosure requirements. Any remaining amounts that are not separately disaggregated are required to be described qualitatively. ASU 2024-03 also requires separate disclosure of total selling expenses incurred each reporting period, along with annual disclosure of the entity's definition of what constitutes a selling expense. The annual disclosures required by ASU 2024-03 are effective for the Company beginning in its fiscal year ending April 1, 2028 ("Fiscal 2028"), with required interim disclosures effective beginning in Fiscal 2029. The provisions of ASU 2024-03 are to be applied prospectively, although retrospective application is permitted. Early adoption is also permitted. Other than the new disclosure requirements, ASU 2024-03 will not have an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5556" w:type="dxa"/>
        <w:jc w:val="left"/>
        <w:tblInd w:w="0" w:type="dxa"/>
        <w:tblLayout w:type="fixed"/>
        <w:tblCellMar>
          <w:top w:w="28" w:type="dxa"/>
          <w:left w:w="28" w:type="dxa"/>
          <w:bottom w:w="28" w:type="dxa"/>
          <w:right w:w="28" w:type="dxa"/>
        </w:tblCellMar>
      </w:tblPr>
      <w:tblGrid>
        <w:gridCol w:w="973"/>
        <w:gridCol w:w="854"/>
        <w:gridCol w:w="858"/>
        <w:gridCol w:w="109"/>
        <w:gridCol w:w="109"/>
        <w:gridCol w:w="109"/>
        <w:gridCol w:w="211"/>
        <w:gridCol w:w="766"/>
        <w:gridCol w:w="109"/>
        <w:gridCol w:w="109"/>
        <w:gridCol w:w="109"/>
        <w:gridCol w:w="109"/>
        <w:gridCol w:w="211"/>
        <w:gridCol w:w="76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includes finance lease right-of-use ("ROU") assets, which are reflected in the table above based on their nature.</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was $56.5 million and $52.2 million during the three-month periods ended June 27, 2026 and June 28, 2025, respectively, and was recorded primarily within SG&amp;A expenses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15"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6.    Other Assets and Liabilities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w:t>
      </w:r>
    </w:p>
    <w:tbl>
      <w:tblPr>
        <w:tblW w:w="7835" w:type="dxa"/>
        <w:jc w:val="left"/>
        <w:tblInd w:w="0" w:type="dxa"/>
        <w:tblLayout w:type="fixed"/>
        <w:tblCellMar>
          <w:top w:w="28" w:type="dxa"/>
          <w:left w:w="28" w:type="dxa"/>
          <w:bottom w:w="28" w:type="dxa"/>
          <w:right w:w="28" w:type="dxa"/>
        </w:tblCellMar>
      </w:tblPr>
      <w:tblGrid>
        <w:gridCol w:w="1906"/>
        <w:gridCol w:w="1676"/>
        <w:gridCol w:w="1682"/>
        <w:gridCol w:w="109"/>
        <w:gridCol w:w="109"/>
        <w:gridCol w:w="109"/>
        <w:gridCol w:w="211"/>
        <w:gridCol w:w="616"/>
        <w:gridCol w:w="109"/>
        <w:gridCol w:w="109"/>
        <w:gridCol w:w="109"/>
        <w:gridCol w:w="109"/>
        <w:gridCol w:w="211"/>
        <w:gridCol w:w="616"/>
        <w:gridCol w:w="154"/>
      </w:tblGrid>
      <w:tr>
        <w:trPr/>
        <w:tc>
          <w:tcPr>
            <w:tcW w:w="190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allowances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information technology subscriptions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occupancy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return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arrangement implementation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logistic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non-current assets consist of the following:</w:t>
      </w:r>
    </w:p>
    <w:tbl>
      <w:tblPr>
        <w:tblW w:w="6966" w:type="dxa"/>
        <w:jc w:val="left"/>
        <w:tblInd w:w="0" w:type="dxa"/>
        <w:tblLayout w:type="fixed"/>
        <w:tblCellMar>
          <w:top w:w="28" w:type="dxa"/>
          <w:left w:w="28" w:type="dxa"/>
          <w:bottom w:w="28" w:type="dxa"/>
          <w:right w:w="28" w:type="dxa"/>
        </w:tblCellMar>
      </w:tblPr>
      <w:tblGrid>
        <w:gridCol w:w="1591"/>
        <w:gridCol w:w="1396"/>
        <w:gridCol w:w="1408"/>
        <w:gridCol w:w="109"/>
        <w:gridCol w:w="109"/>
        <w:gridCol w:w="109"/>
        <w:gridCol w:w="211"/>
        <w:gridCol w:w="616"/>
        <w:gridCol w:w="109"/>
        <w:gridCol w:w="109"/>
        <w:gridCol w:w="109"/>
        <w:gridCol w:w="109"/>
        <w:gridCol w:w="211"/>
        <w:gridCol w:w="616"/>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arrangement implementation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6"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tbl>
      <w:tblPr>
        <w:tblW w:w="7130" w:type="dxa"/>
        <w:jc w:val="left"/>
        <w:tblInd w:w="0" w:type="dxa"/>
        <w:tblLayout w:type="fixed"/>
        <w:tblCellMar>
          <w:top w:w="28" w:type="dxa"/>
          <w:left w:w="28" w:type="dxa"/>
          <w:bottom w:w="28" w:type="dxa"/>
          <w:right w:w="28" w:type="dxa"/>
        </w:tblCellMar>
      </w:tblPr>
      <w:tblGrid>
        <w:gridCol w:w="1542"/>
        <w:gridCol w:w="1356"/>
        <w:gridCol w:w="1361"/>
        <w:gridCol w:w="109"/>
        <w:gridCol w:w="109"/>
        <w:gridCol w:w="109"/>
        <w:gridCol w:w="211"/>
        <w:gridCol w:w="766"/>
        <w:gridCol w:w="109"/>
        <w:gridCol w:w="109"/>
        <w:gridCol w:w="109"/>
        <w:gridCol w:w="109"/>
        <w:gridCol w:w="211"/>
        <w:gridCol w:w="76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inventory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 and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 of the following:</w:t>
      </w:r>
    </w:p>
    <w:tbl>
      <w:tblPr>
        <w:tblW w:w="6290" w:type="dxa"/>
        <w:jc w:val="left"/>
        <w:tblInd w:w="0" w:type="dxa"/>
        <w:tblLayout w:type="fixed"/>
        <w:tblCellMar>
          <w:top w:w="28" w:type="dxa"/>
          <w:left w:w="28" w:type="dxa"/>
          <w:bottom w:w="28" w:type="dxa"/>
          <w:right w:w="28" w:type="dxa"/>
        </w:tblCellMar>
      </w:tblPr>
      <w:tblGrid>
        <w:gridCol w:w="1348"/>
        <w:gridCol w:w="1182"/>
        <w:gridCol w:w="1189"/>
        <w:gridCol w:w="109"/>
        <w:gridCol w:w="109"/>
        <w:gridCol w:w="109"/>
        <w:gridCol w:w="211"/>
        <w:gridCol w:w="616"/>
        <w:gridCol w:w="109"/>
        <w:gridCol w:w="109"/>
        <w:gridCol w:w="109"/>
        <w:gridCol w:w="109"/>
        <w:gridCol w:w="211"/>
        <w:gridCol w:w="61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 and 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lease incentives and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7.    Restructuring and Other Charges,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description of significant restructuring and other activities and their related costs is provided below.</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Restructuring Activities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three-month periods ended June 27, 2026 and June 28, 2025, the Company recorded $3.0 million and $6.4 million, respectively, of restructuring charges associated with severance and benefit costs. A summary of current period activity in the restructuring reserve related to the Company's restructuring activities is as follows:</w:t>
      </w:r>
    </w:p>
    <w:tbl>
      <w:tblPr>
        <w:tblW w:w="6929" w:type="dxa"/>
        <w:jc w:val="left"/>
        <w:tblInd w:w="0" w:type="dxa"/>
        <w:tblLayout w:type="fixed"/>
        <w:tblCellMar>
          <w:top w:w="28" w:type="dxa"/>
          <w:left w:w="28" w:type="dxa"/>
          <w:bottom w:w="28" w:type="dxa"/>
          <w:right w:w="28" w:type="dxa"/>
        </w:tblCellMar>
      </w:tblPr>
      <w:tblGrid>
        <w:gridCol w:w="1180"/>
        <w:gridCol w:w="1033"/>
        <w:gridCol w:w="1041"/>
        <w:gridCol w:w="109"/>
        <w:gridCol w:w="109"/>
        <w:gridCol w:w="109"/>
        <w:gridCol w:w="543"/>
        <w:gridCol w:w="1319"/>
        <w:gridCol w:w="283"/>
        <w:gridCol w:w="109"/>
        <w:gridCol w:w="109"/>
        <w:gridCol w:w="109"/>
        <w:gridCol w:w="211"/>
        <w:gridCol w:w="511"/>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Benefit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applied against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8650"/>
                <wp:effectExtent l="0" t="0" r="0" b="0"/>
                <wp:wrapNone/>
                <wp:docPr id="17" name="Frame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Charges</w:t>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Next Generation Transformation Project</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began a multi-year global project during its fiscal year ended March 30, 2024 that is expected to significantly transform the way in which it operates its business and further enable its long-term strategic pivot towards a global direct-to-consumer-oriented model (the "Next Generation Transformation project" or "NGT project"). The NGT project will span the next several years, with implementation occurring in phases by region and/or capability, and involves the redesign of certain end-to-end processes and the implementation of a suite of technology systems on a global scale. These efforts are expected to result in significant process improvements and the creation of synergies across core areas of operations, as well as financial planning and reporting, better enabling the Company to optimize inventory levels and increase the speed with which it reacts to changes in consumer demand across markets, among other benefits. </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continues to advance key workstreams under the NGT project including completion of global design templates that support its core enterprise resource planning platform and related processes, automation of certain distribution center operations, and the global roll-out of merchandise allocation and long-range demand planning tools.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NGT project, the Company recorded other charges of $20.8 million and $11.0 million during the three-month periods ended June 27, 2026 and June 28,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220" w:after="283"/>
        <w:jc w:val="both"/>
        <w:rPr>
          <w:rFonts w:ascii="Times New Roman;serif" w:hAnsi="Times New Roman;serif"/>
          <w:b/>
          <w:i/>
          <w:color w:val="000000"/>
          <w:sz w:val="20"/>
        </w:rPr>
      </w:pPr>
      <w:r>
        <w:rPr>
          <w:rFonts w:ascii="Times New Roman;serif" w:hAnsi="Times New Roman;serif"/>
          <w:b/>
          <w:i/>
          <w:color w:val="000000"/>
          <w:sz w:val="20"/>
        </w:rPr>
        <w:t>Effective Tax Rate</w:t>
      </w:r>
    </w:p>
    <w:p>
      <w:pPr>
        <w:pStyle w:val="TextBody"/>
        <w:bidi w:val="0"/>
        <w:spacing w:lineRule="auto" w:line="288" w:before="2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which is calculated by dividing each fiscal period's income tax provision by pretax income, was 23.4% and 20.7% during the three-month periods ended June 27, 2026 and June 28, 2025, respectively. The effective tax rate for the three months ended June 27, 2026 was higher than the U.S. federal statutory income tax rate of 21% primarily due to the recognition of uncertain tax position adjustments, state taxes, and permanent adjustments, partly offset by the favorable tax impacts of stock-based compensation related adjustments and the deduction for foreign-derived eligible income. The effective tax rate for the three months ended June 28, 2025 was lower than the U.S. federal statutory income tax rate of 21% primarily due to favorable tax impacts of the foreign-derived intangible income deduction and tax impacts of compensation-related adjustments, partly offset by the unfavorable impact of additional income tax reserves associated with certain income tax audits.</w:t>
      </w:r>
    </w:p>
    <w:p>
      <w:pPr>
        <w:pStyle w:val="TextBody"/>
        <w:bidi w:val="0"/>
        <w:spacing w:lineRule="auto" w:line="288" w:before="220" w:after="283"/>
        <w:jc w:val="both"/>
        <w:rPr>
          <w:rFonts w:ascii="Times New Roman;serif" w:hAnsi="Times New Roman;serif"/>
          <w:b/>
          <w:i/>
          <w:color w:val="000000"/>
          <w:sz w:val="20"/>
        </w:rPr>
      </w:pPr>
      <w:r>
        <w:rPr>
          <w:rFonts w:ascii="Times New Roman;serif" w:hAnsi="Times New Roman;serif"/>
          <w:b/>
          <w:i/>
          <w:color w:val="000000"/>
          <w:sz w:val="20"/>
        </w:rPr>
        <w:t>Uncertain Income Tax Benefits</w:t>
      </w:r>
    </w:p>
    <w:p>
      <w:pPr>
        <w:pStyle w:val="TextBody"/>
        <w:bidi w:val="0"/>
        <w:spacing w:lineRule="auto" w:line="288" w:before="2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classifies interest and penalties related to unrecognized tax benefits as part of its income tax provision. The total amount of unrecognized tax benefits, including interest and penalties, was $176.9 million and $168.7 million as of June 27, 2026 and March 28, 2026, respectively, and was included within the non-current liability for unrecognized tax benefits in the consolidated balance sheets.</w:t>
      </w:r>
    </w:p>
    <w:p>
      <w:pPr>
        <w:pStyle w:val="TextBody"/>
        <w:bidi w:val="0"/>
        <w:spacing w:lineRule="auto" w:line="288" w:before="2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amount of unrecognized tax benefits that, if recognized, would affect the Company's effective tax rate was $112.7 million and $104.4 million as of June 27, 2026 and March 28, 2026, respectively.</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Future Changes in Unrecognized Tax Benefits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amount of unrecognized tax benefits relating to the Company's tax positions is subject to change based on future events including, but not limited to, settlements of ongoing tax audits and assessments and the expiration of applicable statutes of limitations. The Company files a consolidated U.S. federal income tax return, as well as tax returns in various state, local, and foreign jurisdictions. The Company is generally no longer subject to examinations by the relevant tax authorities for years prior to its fiscal year ended April 2, 2016.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8650"/>
                <wp:effectExtent l="0" t="0" r="0" b="0"/>
                <wp:wrapNone/>
                <wp:docPr id="18" name="Frame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Debt consists of the following:</w:t>
      </w:r>
    </w:p>
    <w:tbl>
      <w:tblPr>
        <w:tblW w:w="5975" w:type="dxa"/>
        <w:jc w:val="left"/>
        <w:tblInd w:w="0" w:type="dxa"/>
        <w:tblLayout w:type="fixed"/>
        <w:tblCellMar>
          <w:top w:w="28" w:type="dxa"/>
          <w:left w:w="28" w:type="dxa"/>
          <w:bottom w:w="28" w:type="dxa"/>
          <w:right w:w="28" w:type="dxa"/>
        </w:tblCellMar>
      </w:tblPr>
      <w:tblGrid>
        <w:gridCol w:w="1124"/>
        <w:gridCol w:w="988"/>
        <w:gridCol w:w="992"/>
        <w:gridCol w:w="109"/>
        <w:gridCol w:w="109"/>
        <w:gridCol w:w="109"/>
        <w:gridCol w:w="211"/>
        <w:gridCol w:w="766"/>
        <w:gridCol w:w="109"/>
        <w:gridCol w:w="109"/>
        <w:gridCol w:w="109"/>
        <w:gridCol w:w="109"/>
        <w:gridCol w:w="211"/>
        <w:gridCol w:w="76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$750 million 2.950% Senior Notes</w:t>
            </w:r>
            <w:r>
              <w:rPr>
                <w:rFonts w:ascii="Times New Roman;serif" w:hAnsi="Times New Roman;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$500 million 5.000% Senior Notes</w:t>
            </w:r>
            <w:r>
              <w:rPr>
                <w:rFonts w:ascii="Times New Roman;serif" w:hAnsi="Times New Roman;serif"/>
                <w:b/>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60" w:after="283"/>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The carrying amount of the 2.950% Senior Notes is presented net of unamortized debt issuance costs and original issue discount of $5.4 million and $5.7 million as of June 27, 2026 and March 28, 2026, respectively.</w:t>
      </w:r>
    </w:p>
    <w:p>
      <w:pPr>
        <w:pStyle w:val="TextBody"/>
        <w:bidi w:val="0"/>
        <w:spacing w:lineRule="auto" w:line="288" w:before="60" w:after="283"/>
        <w:ind w:left="0" w:right="0" w:hanging="360"/>
        <w:jc w:val="both"/>
        <w:rPr/>
      </w:pPr>
      <w:r>
        <w:rPr>
          <w:rFonts w:ascii="Times New Roman;serif" w:hAnsi="Times New Roman;serif"/>
          <w:b/>
          <w:color w:val="000000"/>
          <w:sz w:val="13"/>
        </w:rPr>
        <w:t>(b)</w:t>
      </w:r>
      <w:r>
        <w:rPr>
          <w:rFonts w:ascii="Times New Roman;serif" w:hAnsi="Times New Roman;serif"/>
          <w:b w:val="false"/>
          <w:color w:val="000000"/>
          <w:sz w:val="20"/>
        </w:rPr>
        <w:t>The carrying amount of the 5.000% Senior Notes is presented net of unamortized debt issuance costs and original issue discount of $5.2 million and $5.4 million as of June 27, 2026 and March 28, 2026, respectively.</w:t>
      </w:r>
    </w:p>
    <w:p>
      <w:pPr>
        <w:pStyle w:val="TextBody"/>
        <w:bidi w:val="0"/>
        <w:spacing w:lineRule="auto" w:line="288" w:before="300" w:after="283"/>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2020, the Company completed a registered public debt offering and issued $500 million aggregate principal amount of unsecured senior notes that were due and repaid on June 15, 2022 with cash on hand, which bore interest at a fixed rate of 1.700%, payable semi-annually (the "1.700% Senior Notes"), and $750 million aggregate principal amount of unsecured senior notes due June 15, 2030, which bear interest at a fixed rate of 2.950%, payable semi-annually (the "2.950% Senior Notes"). The 1.700% Senior Notes and 2.950% Senior Notes were issued at prices equal to 99.880% and 98.995% of their principal amounts, respectively. The proceeds from these offerings were used for general corporate purposes, which included the repayment of $475 million previously outstanding under the Company's Global Credit Facility (as defined below) on June 3, 2020 and repayment of its previously outstanding $300 million principal amount of 2.625% unsecured senior notes that matured on August 18, 2020.</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2025, the Company completed another registered public debt offering and issued $500 million aggregate principal amount of unsecured senior notes due June 15, 2032, which bear interest at a fixed rate of 5.000%, payable semi-annually (the "5.000% Senior Notes"). The 5.000% Senior Notes were issued at a price equal to 99.647% of their principal amount and the proceeds were used for general corporate purposes, including repayment of certain of the Company's previously outstanding senior notes.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the option to redeem the 2.950% Senior Notes and 5.000% Senior Notes (collectively, the "Senior Notes"), in whole or in part, at any time at a price equal to accrued and unpaid interest on the redemption date plus the greater of (i) 100% of the principal amount of the series of Senior Notes to be redeemed or (ii) the sum of the present value of remaining scheduled payments of principal and interest as set forth in the supplemental indenture governing such Senior Notes (together with the indenture governing the Senior Notes, the "Indenture"). The Indenture contains certain covenants that restrict the Company's ability, subject to specified exceptions, to incur certain liens; enter into sale and leaseback transactions; consolidate or merge with another party; or sell, lease, or convey all or substantially all of the Company's property or assets to another party. However, the Indenture does not contain any financial covenants.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Commercial Paper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a commercial paper borrowing program that allows it to issue up to $750 million of unsecured commercial paper notes through private placement using third-party broker-dealers (the "Commercial Paper Program").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Borrowings under the Commercial Paper Program are supported by the Global Credit Facility (as defined below). Combined borrowings under the Commercial Paper Program and the Global Credit Facility are limited to $750 million. Commercial Paper Program borrowings may be used to support the Company's general working capital and corporate needs. Commercial paper notes have maturities of up to 397 days from the date of issuance and rank equally in seniority with the Company's other forms of unsecured indebtedness. As of both June 27, 2026 and March 28, 2026, there were no borrowings outstanding under the Commercial Paper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8650"/>
                <wp:effectExtent l="0" t="0" r="0" b="0"/>
                <wp:wrapNone/>
                <wp:docPr id="19"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Global Credit Facility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2023, the Company terminated its then existing revolving credit facility and entered into a new credit facility that provides for a $750 million senior unsecured revolving line of credit through June 30, 2028 (the "Global Credit Facility") under terms and conditions substantially similar to those of the previous facility. The Global Credit Facility is available for working capital needs, capital expenditures, certain investments, general corporate purposes, and for funding acquisitions. The Global Credit Facility may also be used to support the issuance of letters of credit and maintenance of the Commercial Paper Program. Borrowings under the Global Credit Facility may be denominated in U.S. Dollars and certain other currencies, including Euros, Hong Kong Dollars, and Japanese Yen, and are guaranteed by some of the Company's domestic subsidiaries, including all of the Company's significant subsidiaries. The terms of the agreement governing the Global Credit Facility provide the Company the ability to expand its borrowing availability to $1.500 billion, subject to the agreement of one or more new or existing lenders under the facility to increase their commitments. There are no mandatory reductions in borrowing ability throughout the term of the Global Credit Facility. As of both June 27, 2026 and March 28, 2026, there were no borrowings outstanding under the Global Credit Facility. However, the Company was contingently liable for $9.4 million and $10.4 million of outstanding letters of credit as of June 27, 2026 and March 28, 2026,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Global Credit Facility contains a number of covenants that, among other things, restrict the Company's ability, subject to specified exceptions, to incur additional indebtedness; incur liens; sell or dispose of assets; merge with or acquire other companies; liquidate or dissolve itself; engage in unrelated lines of business; make loans, advances, or guarantees; engage in transactions with affiliates; and make certain investments. The Global Credit Facility also requires the Company to maintain a maximum ratio of Adjusted Debt to Consolidated EBITDAR (the "leverage ratio") of no greater than 4.25 as of the date of measurement for the four most recent consecutive fiscal quarters. Adjusted Debt is defined generally as consolidated debt outstanding, including finance lease obligations, plus all operating lease obligations. Consolidated EBITDAR is defined generally as consolidated net income plus (i) income tax expense, (ii) net interest expense, (iii) depreciation and amortization expense, (iv) operating lease cost, (v) restructuring and other non-recurring expenses, and (vi) acquisition-related costs. As of June 27, 2026, no Event of Default (as such term is defined pursuant to the Global Credit Facility) has occurred under the Company's Global Credit Facility.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Pan-Asia Credit Facilities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of the Company's subsidiaries in Asia maintain uncommitted credit facilities with regional branches of JPMorgan Chase in China and South Korea (collectively, the "Pan-Asia Credit Facilities"). The Pan-Asia Credit Facilities are subject to annual renewal and may be used to fund general working capital needs of the Company's operations in their respective countries. Borrowings under the Pan-Asia Credit Facilities are guaranteed by the parent company and are granted at the sole discretion of the respective bank lenders, subject to availability of the banks' funds and satisfaction of certain regulatory requirements. The Pan-Asia Credit Facilities do not contain any financial covenants.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the Company's Pan-Asia Credit Facilities by country as of June 27, 2026 is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China Credit Facility</w:t>
      </w:r>
      <w:r>
        <w:rPr>
          <w:color w:val="000000"/>
        </w:rPr>
        <w:t xml:space="preserve"> — </w:t>
      </w:r>
      <w:r>
        <w:rPr>
          <w:rFonts w:ascii="Times New Roman;serif" w:hAnsi="Times New Roman;serif"/>
          <w:b w:val="false"/>
          <w:color w:val="000000"/>
          <w:sz w:val="20"/>
        </w:rPr>
        <w:t>provides Ralph Lauren Trading (Shanghai) Co., Ltd. with a revolving line of credit of up to 100 million Chinese Renminbi (approximately $15 million) through April 3, 2027, which also may be used to support bank guarantees.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South Korea Credit Facility</w:t>
      </w:r>
      <w:r>
        <w:rPr>
          <w:color w:val="000000"/>
        </w:rPr>
        <w:t xml:space="preserve"> — </w:t>
      </w:r>
      <w:r>
        <w:rPr>
          <w:rFonts w:ascii="Times New Roman;serif" w:hAnsi="Times New Roman;serif"/>
          <w:b w:val="false"/>
          <w:color w:val="000000"/>
          <w:sz w:val="20"/>
        </w:rPr>
        <w:t>provides Ralph Lauren (Korea) Ltd. with a revolving line of credit of up to 30 billion South Korean Won (approximately $19 million) through October 24, 2026.</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both June 27, 2026 and March 28, 2026, there were no borrowings outstanding under the Pan-Asia Credit Facilities.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Note 10 of the Fiscal 2026 10-K for additional discussion of the terms and conditions of the Company's debt and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8650"/>
                <wp:effectExtent l="0" t="0" r="0" b="0"/>
                <wp:wrapNone/>
                <wp:docPr id="20" name="Frame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Fair Value Measurements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 GAAP prescribes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u w:val="single"/>
        </w:rPr>
        <w:t>Level 1</w:t>
      </w:r>
      <w:r>
        <w:rPr>
          <w:color w:val="000000"/>
        </w:rPr>
        <w:t xml:space="preserve"> — </w:t>
      </w:r>
      <w:r>
        <w:rPr>
          <w:rFonts w:ascii="Times New Roman;serif" w:hAnsi="Times New Roman;serif"/>
          <w:b w:val="false"/>
          <w:color w:val="000000"/>
          <w:sz w:val="20"/>
        </w:rPr>
        <w:t>inputs to the valuation methodology based on quoted prices (unadjusted) for identical assets or liabilities in active markets.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Level 2</w:t>
      </w:r>
      <w:r>
        <w:rPr>
          <w:color w:val="000000"/>
        </w:rPr>
        <w:t xml:space="preserve"> — </w:t>
      </w:r>
      <w:r>
        <w:rPr>
          <w:rFonts w:ascii="Times New Roman;serif" w:hAnsi="Times New Roman;serif"/>
          <w:b w:val="false"/>
          <w:color w:val="000000"/>
          <w:sz w:val="20"/>
        </w:rPr>
        <w:t>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Level 3</w:t>
      </w:r>
      <w:r>
        <w:rPr>
          <w:color w:val="000000"/>
        </w:rPr>
        <w:t xml:space="preserve"> — </w:t>
      </w:r>
      <w:r>
        <w:rPr>
          <w:rFonts w:ascii="Times New Roman;serif" w:hAnsi="Times New Roman;serif"/>
          <w:b w:val="false"/>
          <w:color w:val="000000"/>
          <w:sz w:val="20"/>
        </w:rPr>
        <w:t>inputs to the valuation methodology based on unobservable prices or valuation techniques that are significant to the fair value measurement.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financial assets and liabilities that are measured and recorded at fair value on a recurring basis, excluding accrued interest components:</w:t>
      </w:r>
    </w:p>
    <w:tbl>
      <w:tblPr>
        <w:tblW w:w="4349" w:type="dxa"/>
        <w:jc w:val="left"/>
        <w:tblInd w:w="0" w:type="dxa"/>
        <w:tblLayout w:type="fixed"/>
        <w:tblCellMar>
          <w:top w:w="28" w:type="dxa"/>
          <w:left w:w="28" w:type="dxa"/>
          <w:bottom w:w="28" w:type="dxa"/>
          <w:right w:w="28" w:type="dxa"/>
        </w:tblCellMar>
      </w:tblPr>
      <w:tblGrid>
        <w:gridCol w:w="711"/>
        <w:gridCol w:w="626"/>
        <w:gridCol w:w="627"/>
        <w:gridCol w:w="109"/>
        <w:gridCol w:w="109"/>
        <w:gridCol w:w="109"/>
        <w:gridCol w:w="211"/>
        <w:gridCol w:w="511"/>
        <w:gridCol w:w="109"/>
        <w:gridCol w:w="109"/>
        <w:gridCol w:w="109"/>
        <w:gridCol w:w="109"/>
        <w:gridCol w:w="217"/>
        <w:gridCol w:w="525"/>
        <w:gridCol w:w="158"/>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assets</w:t>
            </w:r>
            <w:r>
              <w:rPr>
                <w:rFonts w:ascii="Times New Roman;serif" w:hAnsi="Times New Roman;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liabilities</w:t>
            </w:r>
            <w:r>
              <w:rPr>
                <w:rFonts w:ascii="Times New Roman;serif" w:hAnsi="Times New Roman;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Based on Level 2 measurements.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derivative financial instruments are recorded at fair value in its consolidated balance sheets and are valued using pricing models that are primarily based on market observable external inputs, including spot and forward currency exchange rates, benchmark interest rates, and discount rates consistent with the instrument's tenor, and consider the impact of the Company's own credit risk, if any. Changes in counterparty credit risk are also considered in the valuation of derivative financial instruments.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the Company invests in commercial paper, such investments are classified as available-for-sale and recorded at fair value in its consolidated balance sheets using external pricing data, based on interest rates and credit ratings for similar issuances with the same remaining term as the Company's investments. To the extent the Company invests in bonds, such investments are also classified as available-for-sale and recorded at fair value in its consolidated balance sheets based on quoted prices in active markets.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amounts of the Company's cash and cash equivalents, restricted cash, and time deposits generally approximate fair value based on Level 1 measurements.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debt instruments are recorded at amortized cost in its consolidated balance sheets, which may differ from their respective fair values. The fair values of the Company's senior notes are estimated based on external pricing data, including available quoted market prices, and with reference to comparable debt instruments with similar interest rates, credit ratings, and trading frequency, among other factors. The fair values of the Company's commercial paper notes and borrowings outstanding under its credit facilities, if any, are estimated using external pricing data, based on interest rates and credit ratings for similar issuances with the same remaining term as the Company's outstanding borrowings. Given their short-term nature, the fair values of the Company's commercial paper notes and borrowings outstanding under its credit facilities, if any, generally approximate their amortized cost carrying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8650"/>
                <wp:effectExtent l="0" t="0" r="0" b="0"/>
                <wp:wrapNone/>
                <wp:docPr id="21"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and the estimated fair values of the Company's debt instruments:</w:t>
      </w:r>
    </w:p>
    <w:tbl>
      <w:tblPr>
        <w:tblW w:w="9361" w:type="dxa"/>
        <w:jc w:val="left"/>
        <w:tblInd w:w="0" w:type="dxa"/>
        <w:tblLayout w:type="fixed"/>
        <w:tblCellMar>
          <w:top w:w="28" w:type="dxa"/>
          <w:left w:w="28" w:type="dxa"/>
          <w:bottom w:w="28" w:type="dxa"/>
          <w:right w:w="28" w:type="dxa"/>
        </w:tblCellMar>
      </w:tblPr>
      <w:tblGrid>
        <w:gridCol w:w="1065"/>
        <w:gridCol w:w="935"/>
        <w:gridCol w:w="939"/>
        <w:gridCol w:w="109"/>
        <w:gridCol w:w="109"/>
        <w:gridCol w:w="109"/>
        <w:gridCol w:w="345"/>
        <w:gridCol w:w="1007"/>
        <w:gridCol w:w="178"/>
        <w:gridCol w:w="109"/>
        <w:gridCol w:w="109"/>
        <w:gridCol w:w="109"/>
        <w:gridCol w:w="226"/>
        <w:gridCol w:w="662"/>
        <w:gridCol w:w="117"/>
        <w:gridCol w:w="109"/>
        <w:gridCol w:w="109"/>
        <w:gridCol w:w="109"/>
        <w:gridCol w:w="345"/>
        <w:gridCol w:w="1007"/>
        <w:gridCol w:w="178"/>
        <w:gridCol w:w="109"/>
        <w:gridCol w:w="109"/>
        <w:gridCol w:w="109"/>
        <w:gridCol w:w="226"/>
        <w:gridCol w:w="659"/>
        <w:gridCol w:w="16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Amount</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Amount</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(b)</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 million 2.950%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$500 million 5.000%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60" w:after="283"/>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See Note 9 for discussion of the carrying amounts of the Company's senior notes.</w:t>
      </w:r>
    </w:p>
    <w:p>
      <w:pPr>
        <w:pStyle w:val="TextBody"/>
        <w:bidi w:val="0"/>
        <w:spacing w:lineRule="auto" w:line="288" w:before="60" w:after="283"/>
        <w:ind w:left="0" w:right="0" w:hanging="360"/>
        <w:jc w:val="both"/>
        <w:rPr/>
      </w:pPr>
      <w:r>
        <w:rPr>
          <w:rFonts w:ascii="Times New Roman;serif" w:hAnsi="Times New Roman;serif"/>
          <w:b/>
          <w:color w:val="000000"/>
          <w:sz w:val="13"/>
        </w:rPr>
        <w:t>(b)</w:t>
      </w:r>
      <w:r>
        <w:rPr>
          <w:rFonts w:ascii="Times New Roman;serif" w:hAnsi="Times New Roman;serif"/>
          <w:b w:val="false"/>
          <w:color w:val="000000"/>
          <w:sz w:val="20"/>
        </w:rPr>
        <w:t>Based on Level 2 measurements.</w:t>
      </w:r>
    </w:p>
    <w:p>
      <w:pPr>
        <w:pStyle w:val="TextBody"/>
        <w:bidi w:val="0"/>
        <w:spacing w:lineRule="auto" w:line="288" w:before="3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Unrealized gains or losses resulting from changes in the fair value of the Company's debt instruments do not result in the realization or expenditure of cash unless the debt is retired prior to its maturity.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Non-financial Assets and Liabilities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non-financial assets, which primarily consist of goodwill, other intangible assets, property and equipment, and lease-related ROU assets, are not required to be measured at fair value on a recurring basis, and instead are reported at their amortized or depreciated cost in its consolidated balance sheet. However, on a periodic basis or whenever events or changes in circumstances indicate that they may not be fully recoverable (and at least annually for goodwill and indefinite-lived intangible assets), the respective carrying amount of non-financial assets are assessed for impairment and, if ultimately considered impaired, are adjusted and written down to their fair value, as estimated based on consideration of external market participant assumptions and discounted cash flows. No impairment charges were recorded during either of the three-month periods ended June 27, 2026 or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Financial Instruments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changes in foreign currency exchange rates, primarily relating to certain anticipated cash flows and the value of the reported net assets of its international operations, as well as changes in the fair value of its fixed-rate debt obligations attributed to changes in benchmark interest rates. Accordingly, based on its assessment thereof, the Company may use derivative financial instruments to manage and mitigate such risks. The Company does not use derivatives for speculative or trading purposes.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derivative instruments recorded on its consolidated balance sheets as of June 27, 2026 and March 28, 2026:</w:t>
      </w:r>
    </w:p>
    <w:tbl>
      <w:tblPr>
        <w:tblW w:w="12131" w:type="dxa"/>
        <w:jc w:val="left"/>
        <w:tblInd w:w="0" w:type="dxa"/>
        <w:tblLayout w:type="fixed"/>
        <w:tblCellMar>
          <w:top w:w="28" w:type="dxa"/>
          <w:left w:w="28" w:type="dxa"/>
          <w:bottom w:w="28" w:type="dxa"/>
          <w:right w:w="28" w:type="dxa"/>
        </w:tblCellMar>
      </w:tblPr>
      <w:tblGrid>
        <w:gridCol w:w="667"/>
        <w:gridCol w:w="330"/>
        <w:gridCol w:w="279"/>
        <w:gridCol w:w="109"/>
        <w:gridCol w:w="109"/>
        <w:gridCol w:w="109"/>
        <w:gridCol w:w="196"/>
        <w:gridCol w:w="691"/>
        <w:gridCol w:w="109"/>
        <w:gridCol w:w="109"/>
        <w:gridCol w:w="109"/>
        <w:gridCol w:w="109"/>
        <w:gridCol w:w="196"/>
        <w:gridCol w:w="691"/>
        <w:gridCol w:w="109"/>
        <w:gridCol w:w="109"/>
        <w:gridCol w:w="109"/>
        <w:gridCol w:w="109"/>
        <w:gridCol w:w="205"/>
        <w:gridCol w:w="205"/>
        <w:gridCol w:w="206"/>
        <w:gridCol w:w="109"/>
        <w:gridCol w:w="109"/>
        <w:gridCol w:w="109"/>
        <w:gridCol w:w="196"/>
        <w:gridCol w:w="466"/>
        <w:gridCol w:w="109"/>
        <w:gridCol w:w="109"/>
        <w:gridCol w:w="109"/>
        <w:gridCol w:w="109"/>
        <w:gridCol w:w="205"/>
        <w:gridCol w:w="205"/>
        <w:gridCol w:w="206"/>
        <w:gridCol w:w="109"/>
        <w:gridCol w:w="109"/>
        <w:gridCol w:w="109"/>
        <w:gridCol w:w="196"/>
        <w:gridCol w:w="466"/>
        <w:gridCol w:w="109"/>
        <w:gridCol w:w="109"/>
        <w:gridCol w:w="109"/>
        <w:gridCol w:w="109"/>
        <w:gridCol w:w="205"/>
        <w:gridCol w:w="205"/>
        <w:gridCol w:w="206"/>
        <w:gridCol w:w="109"/>
        <w:gridCol w:w="109"/>
        <w:gridCol w:w="109"/>
        <w:gridCol w:w="196"/>
        <w:gridCol w:w="466"/>
        <w:gridCol w:w="109"/>
        <w:gridCol w:w="109"/>
        <w:gridCol w:w="109"/>
        <w:gridCol w:w="109"/>
        <w:gridCol w:w="205"/>
        <w:gridCol w:w="205"/>
        <w:gridCol w:w="206"/>
        <w:gridCol w:w="109"/>
        <w:gridCol w:w="109"/>
        <w:gridCol w:w="109"/>
        <w:gridCol w:w="196"/>
        <w:gridCol w:w="46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Notional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Derivative Liabilities</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5"/>
                <w:u w:val="single"/>
              </w:rPr>
              <w:t>Derivative Instrument</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March 28,</w:t>
              <w:br/>
              <w:t>2026</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Balance</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Sheet</w:t>
            </w:r>
          </w:p>
          <w:p>
            <w:pPr>
              <w:pStyle w:val="TableContents"/>
              <w:bidi w:val="0"/>
              <w:spacing w:lineRule="auto" w:line="240" w:before="0" w:after="0"/>
              <w:jc w:val="center"/>
              <w:rPr/>
            </w:pPr>
            <w:r>
              <w:rPr>
                <w:rFonts w:ascii="Times New Roman;serif" w:hAnsi="Times New Roman;serif"/>
                <w:b/>
                <w:color w:val="000000"/>
                <w:sz w:val="15"/>
              </w:rPr>
              <w:t>Line</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Balance</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Sheet</w:t>
            </w:r>
          </w:p>
          <w:p>
            <w:pPr>
              <w:pStyle w:val="TableContents"/>
              <w:bidi w:val="0"/>
              <w:spacing w:lineRule="auto" w:line="240" w:before="0" w:after="0"/>
              <w:jc w:val="center"/>
              <w:rPr/>
            </w:pPr>
            <w:r>
              <w:rPr>
                <w:rFonts w:ascii="Times New Roman;serif" w:hAnsi="Times New Roman;serif"/>
                <w:b/>
                <w:color w:val="000000"/>
                <w:sz w:val="15"/>
              </w:rPr>
              <w:t>Line</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Balance</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Sheet</w:t>
            </w:r>
          </w:p>
          <w:p>
            <w:pPr>
              <w:pStyle w:val="TableContents"/>
              <w:bidi w:val="0"/>
              <w:spacing w:lineRule="auto" w:line="240" w:before="0" w:after="0"/>
              <w:jc w:val="center"/>
              <w:rPr/>
            </w:pPr>
            <w:r>
              <w:rPr>
                <w:rFonts w:ascii="Times New Roman;serif" w:hAnsi="Times New Roman;serif"/>
                <w:b/>
                <w:color w:val="000000"/>
                <w:sz w:val="15"/>
              </w:rPr>
              <w:t>Line</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Balance</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Sheet</w:t>
            </w:r>
          </w:p>
          <w:p>
            <w:pPr>
              <w:pStyle w:val="TableContents"/>
              <w:bidi w:val="0"/>
              <w:spacing w:lineRule="auto" w:line="240" w:before="0" w:after="0"/>
              <w:jc w:val="center"/>
              <w:rPr/>
            </w:pPr>
            <w:r>
              <w:rPr>
                <w:rFonts w:ascii="Times New Roman;serif" w:hAnsi="Times New Roman;serif"/>
                <w:b/>
                <w:color w:val="000000"/>
                <w:sz w:val="15"/>
              </w:rPr>
              <w:t>Line</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Fair</w:t>
              <w:br/>
              <w:t>Value</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(millions)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u w:val="single"/>
              </w:rPr>
              <w:t>Designated Hedges</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FC —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investment hedges</w:t>
            </w:r>
            <w:r>
              <w:rPr>
                <w:rFonts w:ascii="Times New Roman;serif" w:hAnsi="Times New Roman;serif"/>
                <w:b/>
                <w:color w:val="000000"/>
                <w:sz w:val="1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ONCA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ONCL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ONCL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Designated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u w:val="single"/>
              </w:rPr>
              <w:t>Undesignated Hedges</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FC — Undesignated hedges</w:t>
            </w:r>
            <w:r>
              <w:rPr>
                <w:rFonts w:ascii="Times New Roman;serif" w:hAnsi="Times New Roman;serif"/>
                <w:b/>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FC = Forward foreign currency exchange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8650"/>
                <wp:effectExtent l="0" t="0" r="0" b="0"/>
                <wp:wrapNone/>
                <wp:docPr id="22" name="Frame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60" w:after="283"/>
        <w:ind w:left="0" w:right="0" w:hanging="360"/>
        <w:jc w:val="both"/>
        <w:rPr/>
      </w:pPr>
      <w:r>
        <w:rPr>
          <w:rFonts w:ascii="Times New Roman;serif" w:hAnsi="Times New Roman;serif"/>
          <w:b/>
          <w:color w:val="000000"/>
          <w:sz w:val="13"/>
        </w:rPr>
        <w:t>(b)</w:t>
      </w:r>
      <w:r>
        <w:rPr>
          <w:rFonts w:ascii="Times New Roman;serif" w:hAnsi="Times New Roman;serif"/>
          <w:b w:val="false"/>
          <w:color w:val="000000"/>
          <w:sz w:val="20"/>
        </w:rPr>
        <w:t>PP = Prepaid expenses and other current assets; AE = Accrued expenses and other current liabilities; ONCA = Other non-current assets; ONCL = Other non-current liabilities.</w:t>
      </w:r>
    </w:p>
    <w:p>
      <w:pPr>
        <w:pStyle w:val="TextBody"/>
        <w:bidi w:val="0"/>
        <w:spacing w:lineRule="auto" w:line="288" w:before="60" w:after="283"/>
        <w:ind w:left="0" w:right="0" w:hanging="360"/>
        <w:jc w:val="both"/>
        <w:rPr/>
      </w:pPr>
      <w:r>
        <w:rPr>
          <w:rFonts w:ascii="Times New Roman;serif" w:hAnsi="Times New Roman;serif"/>
          <w:b/>
          <w:color w:val="000000"/>
          <w:sz w:val="13"/>
        </w:rPr>
        <w:t>(c)</w:t>
      </w:r>
      <w:r>
        <w:rPr>
          <w:rFonts w:ascii="Times New Roman;serif" w:hAnsi="Times New Roman;serif"/>
          <w:b w:val="false"/>
          <w:color w:val="000000"/>
          <w:sz w:val="20"/>
        </w:rPr>
        <w:t>Includes cross-currency swaps designated as hedges of the Company's net investment in certain foreign operations.</w:t>
      </w:r>
    </w:p>
    <w:p>
      <w:pPr>
        <w:pStyle w:val="TextBody"/>
        <w:bidi w:val="0"/>
        <w:spacing w:lineRule="auto" w:line="288" w:before="60" w:after="283"/>
        <w:ind w:left="0" w:right="0" w:hanging="360"/>
        <w:jc w:val="both"/>
        <w:rPr/>
      </w:pPr>
      <w:r>
        <w:rPr>
          <w:rFonts w:ascii="Times New Roman;serif" w:hAnsi="Times New Roman;serif"/>
          <w:b/>
          <w:color w:val="000000"/>
          <w:sz w:val="13"/>
        </w:rPr>
        <w:t>(d)</w:t>
      </w:r>
      <w:r>
        <w:rPr>
          <w:rFonts w:ascii="Times New Roman;serif" w:hAnsi="Times New Roman;serif"/>
          <w:b w:val="false"/>
          <w:color w:val="000000"/>
          <w:sz w:val="20"/>
        </w:rPr>
        <w:t>Relates to third-party and intercompany foreign currency-denominated exposures and balances.</w:t>
      </w:r>
    </w:p>
    <w:p>
      <w:pPr>
        <w:pStyle w:val="TextBody"/>
        <w:bidi w:val="0"/>
        <w:spacing w:lineRule="auto" w:line="288" w:before="3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presents the fair values of its derivative assets and liabilities recorded on its consolidated balance sheets on a gross basis, even when they are subject to master netting arrangements. However, if the Company were to offset and record the asset and liability balances of all of its derivative instruments on a net basis in accordance with the terms of each of its master netting arrangements, spread across seven separate counterparties, the amounts presented in the consolidated balance sheets as of June 27, 2026 and March 28, 2026 would be adjusted from the current gross presentation as detailed in the following table:</w:t>
      </w:r>
    </w:p>
    <w:tbl>
      <w:tblPr>
        <w:tblW w:w="10205" w:type="dxa"/>
        <w:jc w:val="left"/>
        <w:tblInd w:w="0" w:type="dxa"/>
        <w:tblLayout w:type="fixed"/>
        <w:tblCellMar>
          <w:top w:w="28" w:type="dxa"/>
          <w:left w:w="28" w:type="dxa"/>
          <w:bottom w:w="28" w:type="dxa"/>
          <w:right w:w="28" w:type="dxa"/>
        </w:tblCellMar>
      </w:tblPr>
      <w:tblGrid>
        <w:gridCol w:w="348"/>
        <w:gridCol w:w="307"/>
        <w:gridCol w:w="308"/>
        <w:gridCol w:w="109"/>
        <w:gridCol w:w="109"/>
        <w:gridCol w:w="109"/>
        <w:gridCol w:w="293"/>
        <w:gridCol w:w="698"/>
        <w:gridCol w:w="163"/>
        <w:gridCol w:w="109"/>
        <w:gridCol w:w="109"/>
        <w:gridCol w:w="109"/>
        <w:gridCol w:w="474"/>
        <w:gridCol w:w="952"/>
        <w:gridCol w:w="264"/>
        <w:gridCol w:w="109"/>
        <w:gridCol w:w="109"/>
        <w:gridCol w:w="109"/>
        <w:gridCol w:w="196"/>
        <w:gridCol w:w="466"/>
        <w:gridCol w:w="109"/>
        <w:gridCol w:w="109"/>
        <w:gridCol w:w="109"/>
        <w:gridCol w:w="109"/>
        <w:gridCol w:w="293"/>
        <w:gridCol w:w="698"/>
        <w:gridCol w:w="163"/>
        <w:gridCol w:w="109"/>
        <w:gridCol w:w="109"/>
        <w:gridCol w:w="109"/>
        <w:gridCol w:w="474"/>
        <w:gridCol w:w="952"/>
        <w:gridCol w:w="264"/>
        <w:gridCol w:w="109"/>
        <w:gridCol w:w="109"/>
        <w:gridCol w:w="109"/>
        <w:gridCol w:w="196"/>
        <w:gridCol w:w="466"/>
        <w:gridCol w:w="159"/>
      </w:tblGrid>
      <w:tr>
        <w:trPr/>
        <w:tc>
          <w:tcPr>
            <w:tcW w:w="3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28, 2026</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Amounts Presented in the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Amounts Not Offset in the Balance Sheet that are Subject to Master Netting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Amounts Presented in the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Amounts Not Offset in the Balance Sheet that are Subject to Master Netting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w:t>
              <w:br/>
              <w:t>Amount</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(millions)</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master netting arrangements do not require cash collateral to be pledged by the Company or its counterparties. See Note 3 for further discussion of the Company's master netting arrangements.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pretax impact of gains and losses from the Company's designated derivative instruments on its consolidated financial statements for the three-month periods ended June 27, 2026 and June 28, 2025:</w:t>
      </w:r>
    </w:p>
    <w:tbl>
      <w:tblPr>
        <w:tblW w:w="9245" w:type="dxa"/>
        <w:jc w:val="left"/>
        <w:tblInd w:w="0" w:type="dxa"/>
        <w:tblLayout w:type="fixed"/>
        <w:tblCellMar>
          <w:top w:w="28" w:type="dxa"/>
          <w:left w:w="28" w:type="dxa"/>
          <w:bottom w:w="28" w:type="dxa"/>
          <w:right w:w="28" w:type="dxa"/>
        </w:tblCellMar>
      </w:tblPr>
      <w:tblGrid>
        <w:gridCol w:w="2131"/>
        <w:gridCol w:w="1870"/>
        <w:gridCol w:w="1878"/>
        <w:gridCol w:w="109"/>
        <w:gridCol w:w="109"/>
        <w:gridCol w:w="109"/>
        <w:gridCol w:w="109"/>
        <w:gridCol w:w="109"/>
        <w:gridCol w:w="194"/>
        <w:gridCol w:w="194"/>
        <w:gridCol w:w="350"/>
        <w:gridCol w:w="671"/>
        <w:gridCol w:w="194"/>
        <w:gridCol w:w="109"/>
        <w:gridCol w:w="109"/>
        <w:gridCol w:w="109"/>
        <w:gridCol w:w="196"/>
        <w:gridCol w:w="541"/>
        <w:gridCol w:w="154"/>
      </w:tblGrid>
      <w:tr>
        <w:trPr/>
        <w:tc>
          <w:tcPr>
            <w:tcW w:w="213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4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w:t>
              <w:br/>
              <w:t>Recognized in OCI</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218" w:type="dxa"/>
            <w:gridSpan w:val="6"/>
            <w:tcBorders/>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Designated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FC —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hedges — effective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investment hedges — portion excluded from assessment of hedge effectiveness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Designated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17"/>
        <w:gridCol w:w="1947"/>
        <w:gridCol w:w="1953"/>
        <w:gridCol w:w="109"/>
        <w:gridCol w:w="109"/>
        <w:gridCol w:w="109"/>
        <w:gridCol w:w="109"/>
        <w:gridCol w:w="109"/>
        <w:gridCol w:w="109"/>
        <w:gridCol w:w="109"/>
        <w:gridCol w:w="294"/>
        <w:gridCol w:w="924"/>
        <w:gridCol w:w="163"/>
        <w:gridCol w:w="163"/>
        <w:gridCol w:w="163"/>
        <w:gridCol w:w="163"/>
        <w:gridCol w:w="294"/>
        <w:gridCol w:w="924"/>
        <w:gridCol w:w="237"/>
      </w:tblGrid>
      <w:tr>
        <w:trPr/>
        <w:tc>
          <w:tcPr>
            <w:tcW w:w="221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Location and Amount of </w:t>
              <w:br/>
              <w:t>Gains (Losses) from</w:t>
              <w:br/>
              <w:t>Cash Flow Hedges Reclassified from AOCI to Earnings</w:t>
            </w:r>
          </w:p>
        </w:tc>
      </w:tr>
      <w:tr>
        <w:trPr/>
        <w:tc>
          <w:tcPr>
            <w:tcW w:w="6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944" w:type="dxa"/>
            <w:gridSpan w:val="6"/>
            <w:tcBorders/>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6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w:t>
              <w:br/>
              <w:t>goods sold</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w:t>
              <w:br/>
              <w:t>goods sold</w:t>
            </w:r>
          </w:p>
        </w:tc>
      </w:tr>
      <w:tr>
        <w:trPr/>
        <w:tc>
          <w:tcPr>
            <w:tcW w:w="6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6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Total amounts presented in the consolidated statements of operations in which the effects of related cash flow hedges are recorded</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Effects of cash flow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FC —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8650"/>
                <wp:effectExtent l="0" t="0" r="0" b="0"/>
                <wp:wrapNone/>
                <wp:docPr id="23" name="Frame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205" w:type="dxa"/>
        <w:jc w:val="center"/>
        <w:tblInd w:w="0" w:type="dxa"/>
        <w:tblLayout w:type="fixed"/>
        <w:tblCellMar>
          <w:top w:w="28" w:type="dxa"/>
          <w:left w:w="28" w:type="dxa"/>
          <w:bottom w:w="28" w:type="dxa"/>
          <w:right w:w="28" w:type="dxa"/>
        </w:tblCellMar>
      </w:tblPr>
      <w:tblGrid>
        <w:gridCol w:w="1635"/>
        <w:gridCol w:w="1436"/>
        <w:gridCol w:w="1441"/>
        <w:gridCol w:w="109"/>
        <w:gridCol w:w="109"/>
        <w:gridCol w:w="109"/>
        <w:gridCol w:w="109"/>
        <w:gridCol w:w="109"/>
        <w:gridCol w:w="112"/>
        <w:gridCol w:w="112"/>
        <w:gridCol w:w="337"/>
        <w:gridCol w:w="648"/>
        <w:gridCol w:w="187"/>
        <w:gridCol w:w="180"/>
        <w:gridCol w:w="180"/>
        <w:gridCol w:w="180"/>
        <w:gridCol w:w="324"/>
        <w:gridCol w:w="622"/>
        <w:gridCol w:w="180"/>
        <w:gridCol w:w="109"/>
        <w:gridCol w:w="109"/>
        <w:gridCol w:w="109"/>
        <w:gridCol w:w="511"/>
        <w:gridCol w:w="511"/>
        <w:gridCol w:w="737"/>
      </w:tblGrid>
      <w:tr>
        <w:trPr/>
        <w:tc>
          <w:tcPr>
            <w:tcW w:w="163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 from Net Investment Hedges</w:t>
              <w:br/>
              <w:t>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Gains (Losses)</w:t>
              <w:br/>
              <w:t>Recognized in Earnings</w:t>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Pr>
          <w:p>
            <w:pPr>
              <w:pStyle w:val="TableContents"/>
              <w:bidi w:val="0"/>
              <w:spacing w:before="0" w:after="283"/>
              <w:jc w:val="left"/>
              <w:rPr>
                <w:sz w:val="4"/>
                <w:szCs w:val="4"/>
              </w:rPr>
            </w:pPr>
            <w:r>
              <w:rPr>
                <w:sz w:val="4"/>
                <w:szCs w:val="4"/>
              </w:rPr>
            </w:r>
          </w:p>
        </w:tc>
        <w:tc>
          <w:tcPr>
            <w:tcW w:w="622" w:type="dxa"/>
            <w:tcBorders/>
          </w:tcPr>
          <w:p>
            <w:pPr>
              <w:pStyle w:val="TableContents"/>
              <w:bidi w:val="0"/>
              <w:spacing w:before="0" w:after="283"/>
              <w:jc w:val="left"/>
              <w:rPr>
                <w:sz w:val="4"/>
                <w:szCs w:val="4"/>
              </w:rPr>
            </w:pPr>
            <w:r>
              <w:rPr>
                <w:sz w:val="4"/>
                <w:szCs w:val="4"/>
              </w:rPr>
            </w:r>
          </w:p>
        </w:tc>
        <w:tc>
          <w:tcPr>
            <w:tcW w:w="180"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7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Net investment hedges — portion excluded from assessment of hedge effectiveness</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Amounts recognized in other comprehensive income (loss) ("OCI") relating to the effective portion of the Company's net investment hedges would be recognized in earnings only upon the sale or liquidation of the hedged net investment.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27, 2026, it is estimated that $17.2 million of pretax net gains on both outstanding and matured derivative instruments designated and qualifying as cash flow hedges deferred in AOCI will be recognized in earnings over the next twelve months. Amounts ultimately recognized in earnings will depend on prevailing exchange rates at the time the derivative instruments are settled.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pretax impact of gains and losses from the Company's undesignated derivative instruments on its consolidated financial statements for the three-month periods ended June 27, 2026 and June 28, 2025:</w:t>
      </w:r>
    </w:p>
    <w:tbl>
      <w:tblPr>
        <w:tblW w:w="7801"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94"/>
        <w:gridCol w:w="194"/>
        <w:gridCol w:w="350"/>
        <w:gridCol w:w="671"/>
        <w:gridCol w:w="194"/>
        <w:gridCol w:w="109"/>
        <w:gridCol w:w="109"/>
        <w:gridCol w:w="109"/>
        <w:gridCol w:w="196"/>
        <w:gridCol w:w="541"/>
        <w:gridCol w:w="109"/>
        <w:gridCol w:w="109"/>
        <w:gridCol w:w="109"/>
        <w:gridCol w:w="109"/>
        <w:gridCol w:w="617"/>
        <w:gridCol w:w="617"/>
        <w:gridCol w:w="880"/>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8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w:t>
              <w:br/>
              <w:t>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Gains (Losses)</w:t>
              <w:br/>
              <w:t>Recognized in Earnings</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541"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Undesignated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FC — Undesignated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Undesignated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Risk Management Strategies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Forward Foreign Currency Exchange Contracts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forward foreign currency exchange contracts to mitigate risks related to exchange rate fluctuations on inventory transactions made in a subsidiary entity's non-functional currency, the settlement of foreign currency-denominated balances, and the translation of certain foreign operations' net assets into U.S. Dollars. As part of its overall strategy for managing the level of exposure to such exchange rate risk, relating primarily to the Euro, the Japanese Yen, the Chinese Renminbi, the South Korean Won, the Australian Dollar, the British Pound Sterling, the Swiss Franc, and the Canadian Dollar, the Company generally hedges a portion of its related exposures anticipated over the next one year using forward foreign currency exchange contracts with maturities of two months to one year to provide continuing coverage over the period of the respective exposure.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Cross-Currency Swap Contracts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periodically designates pay-fixed rate, receive fixed-rate cross-currency swap contracts as hedges of its net investment in certain of its European subsidiaries. These contracts swap U.S. Dollar-denominated fixed interest rate payments based on the contract's notional amount and the fixed rate of interest payable on certain of the Company's senior notes for Euro-denominated fixed interest rate payments, thereby economically converting a portion of its fixed-rate U.S. Dollar-denominated senior note obligations to fixed-rate Euro-denominated obligations.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3 for further discussion of the Company's accounting policies relating to its derivative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8650"/>
                <wp:effectExtent l="0" t="0" r="0" b="0"/>
                <wp:wrapNone/>
                <wp:docPr id="24" name="Frame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short-term investments as of June 27, 2026 and March 28, 2026 were $222.6 million and $77.0 million, respectively, and consisted of time deposits.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No significant realized or unrealized gains or losses on available-for-sale investments or impairment charges were recorded during any of the fiscal periods presented. </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Note 3 of the Fiscal 2026 10-K for further discussion of the Company's accounting policies relating to its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periodically involved in litigation, other legal claims, and proceedings involving matters associated with or incidental to its business, including, among others, credit card fraud, trademark and other intellectual property, licensing, importation and exportation of its products, taxation, unclaimed property, leases, and employee relations. The Company believes at present that the resolution of currently pending matters will not individually or in the aggregate have a material adverse effect on its consolidated financial statements. However, the Company's assessment of any current litigation or other legal claims could potentially change in light of the discovery of facts not presently known or determinations by judges, juries, or other finders of fact which are not in accord with management's evaluation of the possible liability or outcome of such litigation or claims.</w:t>
      </w:r>
    </w:p>
    <w:p>
      <w:pPr>
        <w:pStyle w:val="TextBody"/>
        <w:bidi w:val="0"/>
        <w:spacing w:lineRule="auto" w:line="288" w:before="20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may enter into certain guarantees or other agreements that provide general indemnifications. The Company has not made any significant indemnification payments under such agreements in the past and does not currently anticipate incurring any material indemnification payments.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13.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Common Stock Repurchase Program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the Company's repurchases of Class A common stock under its common stock repurchase program is as follows:</w:t>
      </w:r>
    </w:p>
    <w:tbl>
      <w:tblPr>
        <w:tblW w:w="5106" w:type="dxa"/>
        <w:jc w:val="left"/>
        <w:tblInd w:w="0" w:type="dxa"/>
        <w:tblLayout w:type="fixed"/>
        <w:tblCellMar>
          <w:top w:w="28" w:type="dxa"/>
          <w:left w:w="28" w:type="dxa"/>
          <w:bottom w:w="28" w:type="dxa"/>
          <w:right w:w="28" w:type="dxa"/>
        </w:tblCellMar>
      </w:tblPr>
      <w:tblGrid>
        <w:gridCol w:w="917"/>
        <w:gridCol w:w="807"/>
        <w:gridCol w:w="811"/>
        <w:gridCol w:w="109"/>
        <w:gridCol w:w="109"/>
        <w:gridCol w:w="109"/>
        <w:gridCol w:w="211"/>
        <w:gridCol w:w="616"/>
        <w:gridCol w:w="109"/>
        <w:gridCol w:w="109"/>
        <w:gridCol w:w="109"/>
        <w:gridCol w:w="109"/>
        <w:gridCol w:w="211"/>
        <w:gridCol w:w="61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shares repurchased</w:t>
            </w:r>
            <w:r>
              <w:rPr>
                <w:rFonts w:ascii="Times New Roman;serif" w:hAnsi="Times New Roman;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Excludes related excise taxes of $1.8 million for both three-month periods ended June 27, 2026 and June 28, 2025,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15, 2025, the Company's Board of Directors approved an expansion of the Company's existing common stock repurchase program that allows it to repurchase up to an additional $1.500 billion of its Class A common stock, excluding related excise taxes. As of June 27, 2026, the remaining availability under the Company's Class A common stock repurchase program was approximately $1.102 billion. Repurchases of shares of the Company's Class A common stock are subject to overall business and market conditions.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during the three-month periods ended June 27, 2026 and June 28, 2025, 0.2 million and 0.3 million shares of the Company's Class A common stock, at a cost of $75.1 million and $73.3 million, respectively, were surrendered to or withheld by the Company in satisfaction of withholding taxes in connection with the vesting of awards under its long-term stock incentive plans.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Repurchased and surrendered shares are accounted for as treasury stock at cost and held in treasury for future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8650"/>
                <wp:effectExtent l="0" t="0" r="0" b="0"/>
                <wp:wrapNone/>
                <wp:docPr id="25" name="Frame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generally maintained a regular quarterly cash dividend program on its common stock since 2003.</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14, 2026, the Company's Board of Directors approved an increase to the Company's quarterly cash dividend paid on its common stock from $0.9125 to $1.00 per share. The first quarterly dividend declared to reflect this increase was payable to shareholders of record at the close of business on June 26, 2026, and was paid on July 10, 2026.</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intends to continue to pay regular dividends on outstanding shares of its common stock. However, any decision to declare and pay dividends in the future will ultimately be made at the discretion of the Company's Board of Directors and will depend on the Company's results of operations, cash requirements, financial condition, and other factors that the Board of Directors may deem relevant, including economic and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14.    Accumulated Other Comprehensive Income (Loss)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OCI activity, net of tax, accumulated in equity:</w:t>
      </w:r>
    </w:p>
    <w:tbl>
      <w:tblPr>
        <w:tblW w:w="10205" w:type="dxa"/>
        <w:jc w:val="left"/>
        <w:tblInd w:w="0" w:type="dxa"/>
        <w:tblLayout w:type="fixed"/>
        <w:tblCellMar>
          <w:top w:w="28" w:type="dxa"/>
          <w:left w:w="28" w:type="dxa"/>
          <w:bottom w:w="28" w:type="dxa"/>
          <w:right w:w="28" w:type="dxa"/>
        </w:tblCellMar>
      </w:tblPr>
      <w:tblGrid>
        <w:gridCol w:w="913"/>
        <w:gridCol w:w="494"/>
        <w:gridCol w:w="498"/>
        <w:gridCol w:w="109"/>
        <w:gridCol w:w="109"/>
        <w:gridCol w:w="109"/>
        <w:gridCol w:w="340"/>
        <w:gridCol w:w="1070"/>
        <w:gridCol w:w="175"/>
        <w:gridCol w:w="109"/>
        <w:gridCol w:w="109"/>
        <w:gridCol w:w="109"/>
        <w:gridCol w:w="390"/>
        <w:gridCol w:w="1070"/>
        <w:gridCol w:w="201"/>
        <w:gridCol w:w="109"/>
        <w:gridCol w:w="109"/>
        <w:gridCol w:w="109"/>
        <w:gridCol w:w="486"/>
        <w:gridCol w:w="971"/>
        <w:gridCol w:w="252"/>
        <w:gridCol w:w="109"/>
        <w:gridCol w:w="109"/>
        <w:gridCol w:w="109"/>
        <w:gridCol w:w="429"/>
        <w:gridCol w:w="1284"/>
        <w:gridCol w:w="324"/>
      </w:tblGrid>
      <w:tr>
        <w:trPr/>
        <w:tc>
          <w:tcPr>
            <w:tcW w:w="91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Foreign Currency Translation Gains (Losses)</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Unrealized Gains (Losses) on Cash Flow Hedges</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Unrealized Gains (Losses) on Defined Benefit Plans</w:t>
            </w:r>
            <w:r>
              <w:rPr>
                <w:rFonts w:ascii="Times New Roman;serif" w:hAnsi="Times New Roman;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Accumulated Other Comprehensive Income (Loss)</w:t>
            </w:r>
            <w:r>
              <w:rPr>
                <w:rFonts w:ascii="Times New Roman;serif" w:hAnsi="Times New Roman;serif"/>
                <w:b/>
                <w:color w:val="000000"/>
                <w:sz w:val="10"/>
              </w:rPr>
              <w:t>(d)</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March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OCI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Amounts reclassified from AOCI to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March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Amounts reclassified from AOCI to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June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OCI before reclassifications to earnings related to foreign currency translation gains (losses) includes income tax benefits of $0.2 million and $17.3 million for the three-month periods ended June 27, 2026 and June 28, 2025, respectively. OCI before reclassifications to earnings for the three-month periods ended June 27, 2026 and June 28, 2025 includes losses of $2.7 million (net of a $0.9 million income tax benefit) and $45.3 million (net of a $14.6 million income tax benefit), respectively, related to changes in the fair values of instruments designated as hedges of the Company's net investment in certain foreign operations (see Note 11).</w:t>
      </w:r>
    </w:p>
    <w:p>
      <w:pPr>
        <w:pStyle w:val="TextBody"/>
        <w:bidi w:val="0"/>
        <w:spacing w:lineRule="auto" w:line="288" w:before="60" w:after="283"/>
        <w:ind w:left="0" w:right="0" w:hanging="360"/>
        <w:jc w:val="both"/>
        <w:rPr/>
      </w:pPr>
      <w:r>
        <w:rPr>
          <w:rFonts w:ascii="Times New Roman;serif" w:hAnsi="Times New Roman;serif"/>
          <w:b/>
          <w:color w:val="000000"/>
          <w:sz w:val="13"/>
        </w:rPr>
        <w:t>(b)</w:t>
      </w:r>
      <w:r>
        <w:rPr>
          <w:rFonts w:ascii="Times New Roman;serif" w:hAnsi="Times New Roman;serif"/>
          <w:b w:val="false"/>
          <w:color w:val="000000"/>
          <w:sz w:val="20"/>
        </w:rPr>
        <w:t>OCI before reclassifications to earnings related to net unrealized gains (losses) on cash flow hedges are presented net of an income tax provision of $0.9 million and an income tax benefit of $3.5 million for the three-month periods ended June 27, 2026 and June 28, 2025, respectively. The tax effects on amounts reclassified from AOCI to earnings are presented in the table below.</w:t>
      </w:r>
    </w:p>
    <w:p>
      <w:pPr>
        <w:pStyle w:val="TextBody"/>
        <w:bidi w:val="0"/>
        <w:spacing w:lineRule="auto" w:line="288" w:before="60" w:after="283"/>
        <w:ind w:left="0" w:right="0" w:hanging="360"/>
        <w:jc w:val="both"/>
        <w:rPr/>
      </w:pPr>
      <w:r>
        <w:rPr>
          <w:rFonts w:ascii="Times New Roman;serif" w:hAnsi="Times New Roman;serif"/>
          <w:b/>
          <w:color w:val="000000"/>
          <w:sz w:val="13"/>
        </w:rPr>
        <w:t>(c)</w:t>
      </w:r>
      <w:r>
        <w:rPr>
          <w:rFonts w:ascii="Times New Roman;serif" w:hAnsi="Times New Roman;serif"/>
          <w:b w:val="false"/>
          <w:color w:val="000000"/>
          <w:sz w:val="20"/>
        </w:rPr>
        <w:t>Activity is presented net of taxes, which were immaterial for both periods presented.</w:t>
      </w:r>
    </w:p>
    <w:p>
      <w:pPr>
        <w:pStyle w:val="TextBody"/>
        <w:bidi w:val="0"/>
        <w:spacing w:lineRule="auto" w:line="288" w:before="60" w:after="283"/>
        <w:ind w:left="0" w:right="0" w:hanging="360"/>
        <w:jc w:val="both"/>
        <w:rPr/>
      </w:pPr>
      <w:r>
        <w:rPr>
          <w:rFonts w:ascii="Times New Roman;serif" w:hAnsi="Times New Roman;serif"/>
          <w:b/>
          <w:color w:val="000000"/>
          <w:sz w:val="13"/>
        </w:rPr>
        <w:t>(d)</w:t>
      </w:r>
      <w:r>
        <w:rPr>
          <w:rFonts w:ascii="Times New Roman;serif" w:hAnsi="Times New Roman;serif"/>
          <w:b w:val="false"/>
          <w:color w:val="000000"/>
          <w:sz w:val="20"/>
        </w:rPr>
        <w:t xml:space="preserve">The Company generally releases income tax effects from AOCI when the corresponding pretax AOCI items are reclassified to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26" name="Frame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reclassifications from AOCI to earnings for cash flow hedges, by component:</w:t>
      </w:r>
    </w:p>
    <w:tbl>
      <w:tblPr>
        <w:tblW w:w="10205" w:type="dxa"/>
        <w:jc w:val="left"/>
        <w:tblInd w:w="0" w:type="dxa"/>
        <w:tblLayout w:type="fixed"/>
        <w:tblCellMar>
          <w:top w:w="28" w:type="dxa"/>
          <w:left w:w="28" w:type="dxa"/>
          <w:bottom w:w="28" w:type="dxa"/>
          <w:right w:w="28" w:type="dxa"/>
        </w:tblCellMar>
      </w:tblPr>
      <w:tblGrid>
        <w:gridCol w:w="1068"/>
        <w:gridCol w:w="925"/>
        <w:gridCol w:w="933"/>
        <w:gridCol w:w="109"/>
        <w:gridCol w:w="109"/>
        <w:gridCol w:w="109"/>
        <w:gridCol w:w="109"/>
        <w:gridCol w:w="109"/>
        <w:gridCol w:w="164"/>
        <w:gridCol w:w="164"/>
        <w:gridCol w:w="319"/>
        <w:gridCol w:w="722"/>
        <w:gridCol w:w="164"/>
        <w:gridCol w:w="109"/>
        <w:gridCol w:w="109"/>
        <w:gridCol w:w="109"/>
        <w:gridCol w:w="503"/>
        <w:gridCol w:w="971"/>
        <w:gridCol w:w="262"/>
        <w:gridCol w:w="230"/>
        <w:gridCol w:w="230"/>
        <w:gridCol w:w="232"/>
        <w:gridCol w:w="734"/>
        <w:gridCol w:w="708"/>
        <w:gridCol w:w="1004"/>
      </w:tblGrid>
      <w:tr>
        <w:trPr/>
        <w:tc>
          <w:tcPr>
            <w:tcW w:w="106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w:t>
              <w:br/>
              <w:t>Gains (Losses)</w:t>
              <w:br/>
              <w:t>Reclassified from AOCI</w:t>
              <w:br/>
              <w:t>to Earnings</w:t>
            </w:r>
          </w:p>
        </w:tc>
        <w:tc>
          <w:tcPr>
            <w:tcW w:w="3138" w:type="dxa"/>
            <w:gridSpan w:val="6"/>
            <w:tcBorders/>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vMerge w:val="continue"/>
            <w:tcBorders/>
            <w:tcMar>
              <w:top w:w="0" w:type="dxa"/>
              <w:left w:w="0" w:type="dxa"/>
              <w:bottom w:w="0" w:type="dxa"/>
              <w:right w:w="0" w:type="dxa"/>
            </w:tcMar>
            <w:vAlign w:val="center"/>
          </w:tcPr>
          <w:p>
            <w:pPr>
              <w:pStyle w:val="Normal"/>
              <w:bidi w:val="0"/>
              <w:jc w:val="left"/>
              <w:rPr/>
            </w:pPr>
            <w:r>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rPr>
              <w:t>Gains (losses) on cash flow hedges</w:t>
            </w:r>
            <w:r>
              <w:rPr>
                <w:rFonts w:ascii="Times New Roman;serif" w:hAnsi="Times New Roman;serif"/>
                <w:b/>
                <w:color w:val="000000"/>
                <w:sz w:val="12"/>
              </w:rPr>
              <w:t>(a)</w:t>
            </w: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FC —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goods sold</w:t>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benefit (provision)</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FC = Forward foreign currency exchange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15.    Stock-based Compensation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stock-based compensation awards are currently being issued under its 2019 Incentive Plan, which was approved by its stockholders on August 1, 2019. Any prior awards granted under either the Company's 2010 Incentive Plan or its 1997 Incentive Plan remain subject to the terms of those plans, as applicable. Any awards that expire, are forfeited, or are surrendered to the Company in satisfaction of taxes are available for issuance under the 2019 Incentive Plan.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Note 17 of the Fiscal 2026 10-K for a detailed description of the Company's stock-based compensation awards, including information related to vesting terms, service, performance, and market conditions and payout percentages.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Impact on Results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total stock-based compensation expense and the related income tax benefits recognized during the three-month periods ended June 27, 2026 and June 28, 2025 is as follows:</w:t>
      </w:r>
    </w:p>
    <w:tbl>
      <w:tblPr>
        <w:tblW w:w="6351" w:type="dxa"/>
        <w:jc w:val="left"/>
        <w:tblInd w:w="0" w:type="dxa"/>
        <w:tblLayout w:type="fixed"/>
        <w:tblCellMar>
          <w:top w:w="28" w:type="dxa"/>
          <w:left w:w="28" w:type="dxa"/>
          <w:bottom w:w="28" w:type="dxa"/>
          <w:right w:w="28" w:type="dxa"/>
        </w:tblCellMar>
      </w:tblPr>
      <w:tblGrid>
        <w:gridCol w:w="1087"/>
        <w:gridCol w:w="954"/>
        <w:gridCol w:w="959"/>
        <w:gridCol w:w="109"/>
        <w:gridCol w:w="109"/>
        <w:gridCol w:w="109"/>
        <w:gridCol w:w="109"/>
        <w:gridCol w:w="109"/>
        <w:gridCol w:w="166"/>
        <w:gridCol w:w="166"/>
        <w:gridCol w:w="323"/>
        <w:gridCol w:w="782"/>
        <w:gridCol w:w="166"/>
        <w:gridCol w:w="109"/>
        <w:gridCol w:w="109"/>
        <w:gridCol w:w="109"/>
        <w:gridCol w:w="211"/>
        <w:gridCol w:w="51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203" w:type="dxa"/>
            <w:gridSpan w:val="6"/>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issues its annual grants of stock-based compensation awards in the second quarter of each fiscal year. Due to the timing of the annual grants and other factors, including the timing and magnitude of forfeiture and performance goal achievement adjustments, as well as changes to the size and composition of the eligible employee population, stock-based compensation expense recognized during any given fiscal period is not necessarily indicative of the level of compensation expense expected to be incurred in future periods.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Service-based RSUs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values of service-based RSUs granted to certain of the Company's senior executives and other employees, as well as non-employee directors, are based on the fair value of the Company's Class A common stock on the date of grant, adjusted to reflect the absence of dividends for any awards for which dividend equivalent amounts do not accrue to the holder while outstanding and unvested. The weighted-average grant date fair values of service-based RSU awards granted were $408.69 and $254.88 per share during the three-month periods ended June 27, 2026 and June 28,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27" name="Frame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service-based RSU activity during the three months ended June 27, 2026 is as follows:</w:t>
      </w:r>
    </w:p>
    <w:tbl>
      <w:tblPr>
        <w:tblW w:w="4317" w:type="dxa"/>
        <w:jc w:val="left"/>
        <w:tblInd w:w="0" w:type="dxa"/>
        <w:tblLayout w:type="fixed"/>
        <w:tblCellMar>
          <w:top w:w="28" w:type="dxa"/>
          <w:left w:w="28" w:type="dxa"/>
          <w:bottom w:w="28" w:type="dxa"/>
          <w:right w:w="28" w:type="dxa"/>
        </w:tblCellMar>
      </w:tblPr>
      <w:tblGrid>
        <w:gridCol w:w="875"/>
        <w:gridCol w:w="768"/>
        <w:gridCol w:w="771"/>
        <w:gridCol w:w="109"/>
        <w:gridCol w:w="109"/>
        <w:gridCol w:w="109"/>
        <w:gridCol w:w="461"/>
        <w:gridCol w:w="461"/>
        <w:gridCol w:w="6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Service-based RSUs</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(thousands)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Less than one thousand shares were granted during the three months ended June 27,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Performance-based RSUs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performance-based RSUs granted to its senior executives and other key employees are based on the fair value of the Company's Class A common stock on the date of grant, adjusted to reflect the absence of dividends for any awards for which dividend equivalent amounts do not accrue to the holder while outstanding and unvested. No such awards were granted during the three-month periods ended June 27, 2026 and June 28,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Market-based RSUs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market-based RSUs, which are based on total shareholder return ("TSR") performance, to its senior executives and other key employees. The Company estimates the fair value of its TSR awards on the date of grant using a Monte Carlo simulation, which models multiple stock price paths of the Company's Class A common stock and that of its peer group to evaluate and determine its ultimate expected relative TSR performance ranking. Compensation expense, net of estimated forfeitures, is recorded regardless of whether, and the extent to which, the market condition is ultimately satisfied. No such awards were granted during the three-month periods ended June 27, 2026 and June 28, 2025.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performance-based RSU activity including TSR awards during the three months ended June 27, 2026 is as follows:</w:t>
      </w:r>
    </w:p>
    <w:tbl>
      <w:tblPr>
        <w:tblW w:w="7767" w:type="dxa"/>
        <w:jc w:val="left"/>
        <w:tblInd w:w="0" w:type="dxa"/>
        <w:tblLayout w:type="fixed"/>
        <w:tblCellMar>
          <w:top w:w="28" w:type="dxa"/>
          <w:left w:w="28" w:type="dxa"/>
          <w:bottom w:w="28" w:type="dxa"/>
          <w:right w:w="28" w:type="dxa"/>
        </w:tblCellMar>
      </w:tblPr>
      <w:tblGrid>
        <w:gridCol w:w="1974"/>
        <w:gridCol w:w="1732"/>
        <w:gridCol w:w="1739"/>
        <w:gridCol w:w="109"/>
        <w:gridCol w:w="109"/>
        <w:gridCol w:w="109"/>
        <w:gridCol w:w="584"/>
        <w:gridCol w:w="584"/>
        <w:gridCol w:w="827"/>
      </w:tblGrid>
      <w:tr>
        <w:trPr/>
        <w:tc>
          <w:tcPr>
            <w:tcW w:w="1974"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Performance-based RSUs</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(thousands)</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due to performance and/or market condition achievement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16.    Segment Information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three reportable segments based on its business activities and organization: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North America</w:t>
      </w:r>
      <w:r>
        <w:rPr>
          <w:color w:val="000000"/>
        </w:rPr>
        <w:t xml:space="preserve"> — </w:t>
      </w:r>
      <w:r>
        <w:rPr>
          <w:rFonts w:ascii="Times New Roman;serif" w:hAnsi="Times New Roman;serif"/>
          <w:b w:val="false"/>
          <w:color w:val="000000"/>
          <w:sz w:val="20"/>
        </w:rPr>
        <w:t>The North America segment primarily consists of sales of Ralph Lauren branded apparel, handbags, footwear &amp; accessories, home, and related products made through the Company's retail and wholesale businesses primarily in the U.S. and Canada. In North America, the Company's retail business is primarily comprised of its Ralph Lauren stores, its outlet stores, and its digital commerce sites, www.RalphLauren.com and www.RalphLauren.ca. The Company's wholesale business in North America is comprised primarily of sales to department stores and, to a lesser extent, specialty stores.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8650"/>
                <wp:effectExtent l="0" t="0" r="0" b="0"/>
                <wp:wrapNone/>
                <wp:docPr id="28" name="Frame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Europe</w:t>
      </w:r>
      <w:r>
        <w:rPr>
          <w:color w:val="000000"/>
        </w:rPr>
        <w:t xml:space="preserve"> — </w:t>
      </w:r>
      <w:r>
        <w:rPr>
          <w:rFonts w:ascii="Times New Roman;serif" w:hAnsi="Times New Roman;serif"/>
          <w:b w:val="false"/>
          <w:color w:val="000000"/>
          <w:sz w:val="20"/>
        </w:rPr>
        <w:t xml:space="preserve">The Europe segment primarily consists of sales of Ralph Lauren branded apparel, handbags, footwear &amp; accessories, home, and related products made through the Company's retail and wholesale businesses in Europe and emerging markets. In Europe, the Company's retail business is primarily comprised of its Ralph Lauren stores, its outlet stores, its concession-based shop-within-shops, and its various digital commerce sites. The Company's wholesale business in Europe is comprised primarily of a varying mix of sales to both department stores and specialty stores, depending on the country, as well as to various third-party digital and licensee partners.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Asia</w:t>
      </w:r>
      <w:r>
        <w:rPr>
          <w:color w:val="000000"/>
        </w:rPr>
        <w:t xml:space="preserve"> — </w:t>
      </w:r>
      <w:r>
        <w:rPr>
          <w:rFonts w:ascii="Times New Roman;serif" w:hAnsi="Times New Roman;serif"/>
          <w:b w:val="false"/>
          <w:color w:val="000000"/>
          <w:sz w:val="20"/>
        </w:rPr>
        <w:t xml:space="preserve">The Asia segment primarily consists of sales of Ralph Lauren branded apparel, handbags, footwear &amp; accessories, home, and related products made through the Company's retail and wholesale businesses in Asia, Australia, and New Zealand. The Company's retail business in Asia is primarily comprised of its Ralph Lauren stores, its outlet stores, its concession-based shop-within-shops, and its various digital commerce sites. In addition, the Company sells its products online through various third-party digital partner commerce sites. The Company's wholesale business in Asia is comprised primarily of sales to department stores and various third-party digital and licensee partners.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No operating segments were aggregated to form the Company's reportable segments. In addition to these reportable segments, the Company also has other non-reportable segments, which primarily consist of Ralph Lauren and Chaps branded royalty revenues earned through its global licensing alliances.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segment reporting structure is consistent with how it establishes its overall business strategy, allocates resources, and assesses performance of its business. The accounting policies of the Company's segments are consistent with those described in Notes 2 and 3 of the Fiscal 2026 10-K. Sales and transfers between segments are generally recorded at cost and treated as transfers of inventory. All intercompany revenues are eliminated in consolidation and are not reviewed when evaluating segment performance. The Company's chief operating decision maker (the "CODM") as defined within Accounting Standards Codification Topic 280, "Segment Reporting," who is its President and Chief Executive Officer, assesses segment performance and allocates resources based upon net revenues and operating income before restructuring-related charges, impairment of assets, and certain other non-routine items, if any. In addition, the Company's CODM is regularly provided each segment's gross profit and total SG&amp;A expenses, as well as SG&amp;A expense by category at the consolidated level. Certain corporate overhead expenses related to global functions, most notably the Company's executive office, information technology, finance and accounting, human resources, and legal departments, largely remain at corporate. Additionally, other costs that cannot be allocated to the segments based on specific usage are also maintained at corporate, including corporate marketing and advertising expenses, depreciation and amortization of corporate assets, and other general and administrative expenses resulting from corporate-level activities and projects. Asset information by segment is not utilized by the CODM for purposes of assessing performance or allocating resources, and therefore such information has not been presented.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revenues, significant expenses, and segment operating income for each of the Company's segments are as follows:</w:t>
      </w:r>
    </w:p>
    <w:tbl>
      <w:tblPr>
        <w:tblW w:w="10205" w:type="dxa"/>
        <w:jc w:val="left"/>
        <w:tblInd w:w="0" w:type="dxa"/>
        <w:tblLayout w:type="fixed"/>
        <w:tblCellMar>
          <w:top w:w="28" w:type="dxa"/>
          <w:left w:w="28" w:type="dxa"/>
          <w:bottom w:w="28" w:type="dxa"/>
          <w:right w:w="28" w:type="dxa"/>
        </w:tblCellMar>
      </w:tblPr>
      <w:tblGrid>
        <w:gridCol w:w="1185"/>
        <w:gridCol w:w="921"/>
        <w:gridCol w:w="928"/>
        <w:gridCol w:w="109"/>
        <w:gridCol w:w="109"/>
        <w:gridCol w:w="109"/>
        <w:gridCol w:w="232"/>
        <w:gridCol w:w="658"/>
        <w:gridCol w:w="129"/>
        <w:gridCol w:w="109"/>
        <w:gridCol w:w="109"/>
        <w:gridCol w:w="109"/>
        <w:gridCol w:w="196"/>
        <w:gridCol w:w="556"/>
        <w:gridCol w:w="109"/>
        <w:gridCol w:w="109"/>
        <w:gridCol w:w="109"/>
        <w:gridCol w:w="109"/>
        <w:gridCol w:w="196"/>
        <w:gridCol w:w="556"/>
        <w:gridCol w:w="109"/>
        <w:gridCol w:w="109"/>
        <w:gridCol w:w="109"/>
        <w:gridCol w:w="109"/>
        <w:gridCol w:w="444"/>
        <w:gridCol w:w="1056"/>
        <w:gridCol w:w="249"/>
        <w:gridCol w:w="109"/>
        <w:gridCol w:w="109"/>
        <w:gridCol w:w="109"/>
        <w:gridCol w:w="196"/>
        <w:gridCol w:w="691"/>
        <w:gridCol w:w="159"/>
      </w:tblGrid>
      <w:tr>
        <w:trPr/>
        <w:tc>
          <w:tcPr>
            <w:tcW w:w="118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27, 2026</w:t>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non-reportable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 significant expenses, and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Selling, general, and administrative expenses</w:t>
            </w:r>
            <w:r>
              <w:rPr>
                <w:rFonts w:ascii="Times New Roman;serif" w:hAnsi="Times New Roman;serif"/>
                <w:b/>
                <w:color w:val="000000"/>
                <w:sz w:val="12"/>
              </w:rPr>
              <w:t>(a)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segment operating income to consolidated operating income and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Corporate expenses, net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825" w:type="dxa"/>
            <w:gridSpan w:val="24"/>
            <w:tcBorders/>
          </w:tcPr>
          <w:p>
            <w:pPr>
              <w:pStyle w:val="TableContents"/>
              <w:bidi w:val="0"/>
              <w:spacing w:before="0" w:after="283"/>
              <w:jc w:val="left"/>
              <w:rPr>
                <w:sz w:val="4"/>
                <w:szCs w:val="4"/>
              </w:rPr>
            </w:pPr>
            <w:r>
              <w:rPr>
                <w:sz w:val="4"/>
                <w:szCs w:val="4"/>
              </w:rPr>
            </w:r>
          </w:p>
        </w:tc>
      </w:tr>
      <w:tr>
        <w:trPr/>
        <w:tc>
          <w:tcPr>
            <w:tcW w:w="8832"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and other charges, net</w:t>
            </w:r>
            <w:r>
              <w:rPr>
                <w:rFonts w:ascii="Times New Roman;serif" w:hAnsi="Times New Roman;serif"/>
                <w:b/>
                <w:color w:val="000000"/>
                <w:sz w:val="12"/>
              </w:rPr>
              <w:t>(b)</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29"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1185"/>
        <w:gridCol w:w="921"/>
        <w:gridCol w:w="928"/>
        <w:gridCol w:w="109"/>
        <w:gridCol w:w="109"/>
        <w:gridCol w:w="109"/>
        <w:gridCol w:w="232"/>
        <w:gridCol w:w="658"/>
        <w:gridCol w:w="129"/>
        <w:gridCol w:w="109"/>
        <w:gridCol w:w="109"/>
        <w:gridCol w:w="109"/>
        <w:gridCol w:w="196"/>
        <w:gridCol w:w="556"/>
        <w:gridCol w:w="109"/>
        <w:gridCol w:w="109"/>
        <w:gridCol w:w="109"/>
        <w:gridCol w:w="109"/>
        <w:gridCol w:w="196"/>
        <w:gridCol w:w="556"/>
        <w:gridCol w:w="109"/>
        <w:gridCol w:w="109"/>
        <w:gridCol w:w="109"/>
        <w:gridCol w:w="109"/>
        <w:gridCol w:w="444"/>
        <w:gridCol w:w="1056"/>
        <w:gridCol w:w="249"/>
        <w:gridCol w:w="109"/>
        <w:gridCol w:w="109"/>
        <w:gridCol w:w="109"/>
        <w:gridCol w:w="196"/>
        <w:gridCol w:w="691"/>
        <w:gridCol w:w="159"/>
      </w:tblGrid>
      <w:tr>
        <w:trPr/>
        <w:tc>
          <w:tcPr>
            <w:tcW w:w="118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28, 2025</w:t>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non-reportable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 significant expenses, and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Selling, general, and administrative expenses</w:t>
            </w:r>
            <w:r>
              <w:rPr>
                <w:rFonts w:ascii="Times New Roman;serif" w:hAnsi="Times New Roman;serif"/>
                <w:b/>
                <w:color w:val="000000"/>
                <w:sz w:val="12"/>
              </w:rPr>
              <w:t>(a)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(765.8)</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segment operating income to consolidated operating income and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Corporate expenses, net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825" w:type="dxa"/>
            <w:gridSpan w:val="24"/>
            <w:tcBorders/>
          </w:tcPr>
          <w:p>
            <w:pPr>
              <w:pStyle w:val="TableContents"/>
              <w:bidi w:val="0"/>
              <w:spacing w:before="0" w:after="283"/>
              <w:jc w:val="left"/>
              <w:rPr>
                <w:sz w:val="4"/>
                <w:szCs w:val="4"/>
              </w:rPr>
            </w:pPr>
            <w:r>
              <w:rPr>
                <w:sz w:val="4"/>
                <w:szCs w:val="4"/>
              </w:rPr>
            </w:r>
          </w:p>
        </w:tc>
      </w:tr>
      <w:tr>
        <w:trPr/>
        <w:tc>
          <w:tcPr>
            <w:tcW w:w="8832"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and other charges, net</w:t>
            </w:r>
            <w:r>
              <w:rPr>
                <w:rFonts w:ascii="Times New Roman;serif" w:hAnsi="Times New Roman;serif"/>
                <w:b/>
                <w:color w:val="000000"/>
                <w:sz w:val="12"/>
              </w:rPr>
              <w:t>(b)</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color w:val="000000"/>
          <w:sz w:val="13"/>
          <w:shd w:fill="FFFFFF" w:val="clear"/>
        </w:rPr>
        <w:t>(a)</w:t>
      </w:r>
      <w:r>
        <w:rPr>
          <w:rFonts w:ascii="Times New Roman;serif" w:hAnsi="Times New Roman;serif"/>
          <w:b w:val="false"/>
          <w:color w:val="000000"/>
          <w:sz w:val="20"/>
        </w:rPr>
        <w:t>SG&amp;A expenses include costs relating to compensation and benefits, marketing and advertising, rent and occupancy, distribution, depreciation and amortization, bad debt, and other selling and administrative costs.</w:t>
      </w:r>
    </w:p>
    <w:p>
      <w:pPr>
        <w:pStyle w:val="TextBody"/>
        <w:bidi w:val="0"/>
        <w:spacing w:lineRule="auto" w:line="288" w:before="120" w:after="283"/>
        <w:ind w:left="0" w:right="0" w:hanging="360"/>
        <w:jc w:val="both"/>
        <w:rPr/>
      </w:pPr>
      <w:r>
        <w:rPr>
          <w:rFonts w:ascii="Times New Roman;serif" w:hAnsi="Times New Roman;serif"/>
          <w:b/>
          <w:color w:val="000000"/>
          <w:sz w:val="13"/>
        </w:rPr>
        <w:t>(b)</w:t>
      </w:r>
      <w:r>
        <w:rPr>
          <w:rFonts w:ascii="Times New Roman;serif" w:hAnsi="Times New Roman;serif"/>
          <w:b w:val="false"/>
          <w:color w:val="000000"/>
          <w:sz w:val="20"/>
        </w:rPr>
        <w:t xml:space="preserve">The three-month periods ended June 27, 2026 and June 28, 2025 included certain restructuring and other charges, net (see Note 7) that are excluded from the segment profitability measure utilized by the CODM, which are detailed below: </w:t>
      </w:r>
    </w:p>
    <w:tbl>
      <w:tblPr>
        <w:tblW w:w="7203" w:type="dxa"/>
        <w:jc w:val="left"/>
        <w:tblInd w:w="0" w:type="dxa"/>
        <w:tblLayout w:type="fixed"/>
        <w:tblCellMar>
          <w:top w:w="28" w:type="dxa"/>
          <w:left w:w="28" w:type="dxa"/>
          <w:bottom w:w="28" w:type="dxa"/>
          <w:right w:w="28" w:type="dxa"/>
        </w:tblCellMar>
      </w:tblPr>
      <w:tblGrid>
        <w:gridCol w:w="124"/>
        <w:gridCol w:w="109"/>
        <w:gridCol w:w="109"/>
        <w:gridCol w:w="1144"/>
        <w:gridCol w:w="1144"/>
        <w:gridCol w:w="1147"/>
        <w:gridCol w:w="109"/>
        <w:gridCol w:w="109"/>
        <w:gridCol w:w="109"/>
        <w:gridCol w:w="109"/>
        <w:gridCol w:w="109"/>
        <w:gridCol w:w="155"/>
        <w:gridCol w:w="155"/>
        <w:gridCol w:w="301"/>
        <w:gridCol w:w="837"/>
        <w:gridCol w:w="155"/>
        <w:gridCol w:w="109"/>
        <w:gridCol w:w="109"/>
        <w:gridCol w:w="109"/>
        <w:gridCol w:w="211"/>
        <w:gridCol w:w="58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278"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and 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operations-related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charges (see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depreciation and amortization expense and capital expenditures for each of the Company's segments:</w:t>
      </w:r>
    </w:p>
    <w:tbl>
      <w:tblPr>
        <w:tblW w:w="7100" w:type="dxa"/>
        <w:jc w:val="left"/>
        <w:tblInd w:w="0" w:type="dxa"/>
        <w:tblLayout w:type="fixed"/>
        <w:tblCellMar>
          <w:top w:w="28" w:type="dxa"/>
          <w:left w:w="28" w:type="dxa"/>
          <w:bottom w:w="28" w:type="dxa"/>
          <w:right w:w="28" w:type="dxa"/>
        </w:tblCellMar>
      </w:tblPr>
      <w:tblGrid>
        <w:gridCol w:w="1358"/>
        <w:gridCol w:w="1194"/>
        <w:gridCol w:w="1197"/>
        <w:gridCol w:w="109"/>
        <w:gridCol w:w="109"/>
        <w:gridCol w:w="109"/>
        <w:gridCol w:w="109"/>
        <w:gridCol w:w="109"/>
        <w:gridCol w:w="166"/>
        <w:gridCol w:w="166"/>
        <w:gridCol w:w="323"/>
        <w:gridCol w:w="782"/>
        <w:gridCol w:w="166"/>
        <w:gridCol w:w="109"/>
        <w:gridCol w:w="109"/>
        <w:gridCol w:w="109"/>
        <w:gridCol w:w="211"/>
        <w:gridCol w:w="511"/>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203" w:type="dxa"/>
            <w:gridSpan w:val="6"/>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30"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5706" w:type="dxa"/>
        <w:jc w:val="left"/>
        <w:tblInd w:w="0" w:type="dxa"/>
        <w:tblLayout w:type="fixed"/>
        <w:tblCellMar>
          <w:top w:w="28" w:type="dxa"/>
          <w:left w:w="28" w:type="dxa"/>
          <w:bottom w:w="28" w:type="dxa"/>
          <w:right w:w="28" w:type="dxa"/>
        </w:tblCellMar>
      </w:tblPr>
      <w:tblGrid>
        <w:gridCol w:w="815"/>
        <w:gridCol w:w="715"/>
        <w:gridCol w:w="720"/>
        <w:gridCol w:w="109"/>
        <w:gridCol w:w="109"/>
        <w:gridCol w:w="109"/>
        <w:gridCol w:w="109"/>
        <w:gridCol w:w="109"/>
        <w:gridCol w:w="166"/>
        <w:gridCol w:w="166"/>
        <w:gridCol w:w="323"/>
        <w:gridCol w:w="782"/>
        <w:gridCol w:w="166"/>
        <w:gridCol w:w="109"/>
        <w:gridCol w:w="109"/>
        <w:gridCol w:w="109"/>
        <w:gridCol w:w="211"/>
        <w:gridCol w:w="61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revenues by geographic location of the reporting subsidiary are as follows:</w:t>
      </w:r>
    </w:p>
    <w:tbl>
      <w:tblPr>
        <w:tblW w:w="5226" w:type="dxa"/>
        <w:jc w:val="left"/>
        <w:tblInd w:w="0" w:type="dxa"/>
        <w:tblLayout w:type="fixed"/>
        <w:tblCellMar>
          <w:top w:w="28" w:type="dxa"/>
          <w:left w:w="28" w:type="dxa"/>
          <w:bottom w:w="28" w:type="dxa"/>
          <w:right w:w="28" w:type="dxa"/>
        </w:tblCellMar>
      </w:tblPr>
      <w:tblGrid>
        <w:gridCol w:w="586"/>
        <w:gridCol w:w="515"/>
        <w:gridCol w:w="518"/>
        <w:gridCol w:w="109"/>
        <w:gridCol w:w="109"/>
        <w:gridCol w:w="109"/>
        <w:gridCol w:w="109"/>
        <w:gridCol w:w="109"/>
        <w:gridCol w:w="134"/>
        <w:gridCol w:w="134"/>
        <w:gridCol w:w="259"/>
        <w:gridCol w:w="943"/>
        <w:gridCol w:w="134"/>
        <w:gridCol w:w="109"/>
        <w:gridCol w:w="109"/>
        <w:gridCol w:w="109"/>
        <w:gridCol w:w="211"/>
        <w:gridCol w:w="766"/>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58" w:type="dxa"/>
            <w:gridSpan w:val="6"/>
            <w:tcBorders/>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revenues</w:t>
            </w:r>
            <w:r>
              <w:rPr>
                <w:rFonts w:ascii="Times New Roman;serif" w:hAnsi="Times New Roman;serif"/>
                <w:b/>
                <w:color w:val="000000"/>
                <w:sz w:val="13"/>
              </w:rPr>
              <w:t>(a)</w:t>
            </w: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The Americas</w:t>
            </w:r>
            <w:r>
              <w:rPr>
                <w:rFonts w:ascii="Times New Roman;serif" w:hAnsi="Times New Roman;serif"/>
                <w:b/>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Europe</w:t>
            </w:r>
            <w:r>
              <w:rPr>
                <w:rFonts w:ascii="Times New Roman;serif" w:hAnsi="Times New Roman;serif"/>
                <w:b/>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Asia</w:t>
            </w:r>
            <w:r>
              <w:rPr>
                <w:rFonts w:ascii="Times New Roman;serif" w:hAnsi="Times New Roman;serif"/>
                <w:b/>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both"/>
        <w:rPr/>
      </w:pPr>
      <w:r>
        <w:rPr>
          <w:rFonts w:ascii="Times New Roman;serif" w:hAnsi="Times New Roman;serif"/>
          <w:b/>
          <w:color w:val="000000"/>
          <w:sz w:val="13"/>
        </w:rPr>
        <w:t>(a)</w:t>
      </w:r>
      <w:r>
        <w:rPr>
          <w:rFonts w:ascii="Times New Roman;serif" w:hAnsi="Times New Roman;serif"/>
          <w:b w:val="false"/>
          <w:color w:val="000000"/>
          <w:sz w:val="20"/>
        </w:rPr>
        <w:t>Net revenues for certain of the Company's licensed operations are included within the geographic location of the reporting subsidiary which holds the respective license.</w:t>
      </w:r>
    </w:p>
    <w:p>
      <w:pPr>
        <w:pStyle w:val="TextBody"/>
        <w:bidi w:val="0"/>
        <w:spacing w:lineRule="auto" w:line="288" w:before="0" w:after="60"/>
        <w:ind w:left="0" w:right="0" w:hanging="540"/>
        <w:jc w:val="both"/>
        <w:rPr/>
      </w:pPr>
      <w:r>
        <w:rPr>
          <w:rFonts w:ascii="Times New Roman;serif" w:hAnsi="Times New Roman;serif"/>
          <w:b/>
          <w:color w:val="000000"/>
          <w:sz w:val="13"/>
          <w:shd w:fill="FFFFFF" w:val="clear"/>
        </w:rPr>
        <w:t>(b)</w:t>
      </w:r>
      <w:r>
        <w:rPr>
          <w:rFonts w:ascii="Times New Roman;serif" w:hAnsi="Times New Roman;serif"/>
          <w:b w:val="false"/>
          <w:color w:val="000000"/>
          <w:sz w:val="20"/>
        </w:rPr>
        <w:t>Includes the U.S., Canada, and Latin America. Net revenues earned in the U.S. during the three-month periods ended June 27, 2026 and June 28, 2025 were $740.7 million and $657.8 million, respectively.</w:t>
      </w:r>
    </w:p>
    <w:p>
      <w:pPr>
        <w:pStyle w:val="TextBody"/>
        <w:bidi w:val="0"/>
        <w:spacing w:lineRule="auto" w:line="288" w:before="0" w:after="60"/>
        <w:ind w:left="0" w:right="0" w:hanging="540"/>
        <w:jc w:val="both"/>
        <w:rPr/>
      </w:pPr>
      <w:r>
        <w:rPr>
          <w:rFonts w:ascii="Times New Roman;serif" w:hAnsi="Times New Roman;serif"/>
          <w:b/>
          <w:color w:val="000000"/>
          <w:sz w:val="13"/>
        </w:rPr>
        <w:t>(c)</w:t>
      </w:r>
      <w:r>
        <w:rPr>
          <w:rFonts w:ascii="Times New Roman;serif" w:hAnsi="Times New Roman;serif"/>
          <w:b w:val="false"/>
          <w:color w:val="000000"/>
          <w:sz w:val="20"/>
        </w:rPr>
        <w:t>Includes the Middle East.</w:t>
      </w:r>
    </w:p>
    <w:p>
      <w:pPr>
        <w:pStyle w:val="TextBody"/>
        <w:bidi w:val="0"/>
        <w:spacing w:lineRule="auto" w:line="288" w:before="0" w:after="240"/>
        <w:ind w:left="0" w:right="0" w:hanging="540"/>
        <w:jc w:val="both"/>
        <w:rPr/>
      </w:pPr>
      <w:r>
        <w:rPr>
          <w:rFonts w:ascii="Times New Roman;serif" w:hAnsi="Times New Roman;serif"/>
          <w:b/>
          <w:color w:val="000000"/>
          <w:sz w:val="13"/>
        </w:rPr>
        <w:t>(d)</w:t>
      </w:r>
      <w:r>
        <w:rPr>
          <w:rFonts w:ascii="Times New Roman;serif" w:hAnsi="Times New Roman;serif"/>
          <w:b w:val="false"/>
          <w:color w:val="000000"/>
          <w:sz w:val="20"/>
        </w:rPr>
        <w:t>Includes Australia and New Zealand.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17.    Additional Financial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Reconciliation of Cash, Cash Equivalents, and Restricted Cash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reconciliation of cash, cash equivalents, and restricted cash as of June 27, 2026 and March 28, 2026 from the consolidated balance sheets to the consolidated statements of cash flows is as follows:</w:t>
      </w:r>
    </w:p>
    <w:tbl>
      <w:tblPr>
        <w:tblW w:w="8931" w:type="dxa"/>
        <w:jc w:val="left"/>
        <w:tblInd w:w="0" w:type="dxa"/>
        <w:tblLayout w:type="fixed"/>
        <w:tblCellMar>
          <w:top w:w="28" w:type="dxa"/>
          <w:left w:w="28" w:type="dxa"/>
          <w:bottom w:w="28" w:type="dxa"/>
          <w:right w:w="28" w:type="dxa"/>
        </w:tblCellMar>
      </w:tblPr>
      <w:tblGrid>
        <w:gridCol w:w="2195"/>
        <w:gridCol w:w="1927"/>
        <w:gridCol w:w="1938"/>
        <w:gridCol w:w="109"/>
        <w:gridCol w:w="109"/>
        <w:gridCol w:w="109"/>
        <w:gridCol w:w="211"/>
        <w:gridCol w:w="766"/>
        <w:gridCol w:w="109"/>
        <w:gridCol w:w="109"/>
        <w:gridCol w:w="109"/>
        <w:gridCol w:w="109"/>
        <w:gridCol w:w="211"/>
        <w:gridCol w:w="766"/>
        <w:gridCol w:w="154"/>
      </w:tblGrid>
      <w:tr>
        <w:trPr/>
        <w:tc>
          <w:tcPr>
            <w:tcW w:w="219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Restricted cash relates to cash held in escrow with certain banks as collateral, primarily to secure guarantees in connection with certain international tax matters and real estate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31"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Paid for Interest and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interest and income taxes is as follows:</w:t>
      </w:r>
    </w:p>
    <w:tbl>
      <w:tblPr>
        <w:tblW w:w="6861" w:type="dxa"/>
        <w:jc w:val="left"/>
        <w:tblInd w:w="0" w:type="dxa"/>
        <w:tblLayout w:type="fixed"/>
        <w:tblCellMar>
          <w:top w:w="28" w:type="dxa"/>
          <w:left w:w="28" w:type="dxa"/>
          <w:bottom w:w="28" w:type="dxa"/>
          <w:right w:w="28" w:type="dxa"/>
        </w:tblCellMar>
      </w:tblPr>
      <w:tblGrid>
        <w:gridCol w:w="1271"/>
        <w:gridCol w:w="1115"/>
        <w:gridCol w:w="1124"/>
        <w:gridCol w:w="109"/>
        <w:gridCol w:w="109"/>
        <w:gridCol w:w="109"/>
        <w:gridCol w:w="109"/>
        <w:gridCol w:w="109"/>
        <w:gridCol w:w="166"/>
        <w:gridCol w:w="166"/>
        <w:gridCol w:w="323"/>
        <w:gridCol w:w="782"/>
        <w:gridCol w:w="166"/>
        <w:gridCol w:w="109"/>
        <w:gridCol w:w="109"/>
        <w:gridCol w:w="109"/>
        <w:gridCol w:w="211"/>
        <w:gridCol w:w="511"/>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203" w:type="dxa"/>
            <w:gridSpan w:val="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Paid for Leases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certain cash flow information related to the Company's leases:</w:t>
      </w:r>
    </w:p>
    <w:tbl>
      <w:tblPr>
        <w:tblW w:w="8421" w:type="dxa"/>
        <w:jc w:val="left"/>
        <w:tblInd w:w="0" w:type="dxa"/>
        <w:tblLayout w:type="fixed"/>
        <w:tblCellMar>
          <w:top w:w="28" w:type="dxa"/>
          <w:left w:w="28" w:type="dxa"/>
          <w:bottom w:w="28" w:type="dxa"/>
          <w:right w:w="28" w:type="dxa"/>
        </w:tblCellMar>
      </w:tblPr>
      <w:tblGrid>
        <w:gridCol w:w="2196"/>
        <w:gridCol w:w="1927"/>
        <w:gridCol w:w="1937"/>
        <w:gridCol w:w="109"/>
        <w:gridCol w:w="109"/>
        <w:gridCol w:w="109"/>
        <w:gridCol w:w="211"/>
        <w:gridCol w:w="511"/>
        <w:gridCol w:w="109"/>
        <w:gridCol w:w="109"/>
        <w:gridCol w:w="109"/>
        <w:gridCol w:w="109"/>
        <w:gridCol w:w="211"/>
        <w:gridCol w:w="51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Non-cash Transactions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ROU assets recorded in connection with the recognition of new lease liabilities were $78.1 million and $119.7 million for the three-month periods ended June 27, 2026 and June 28, 2025, respectively. Finance lease ROU assets recorded in connection with the recognition of new lease liabilities were $1.3 million and $0.5 million for the three-month periods ended June 27, 2026 and June 28, 2025,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Non-cash investing activities also included capital expenditures incurred but not yet paid of $30.1 million and $32.6 million for the three-month periods ended June 27, 2026 and June 28, 2025,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other significant non-cash investing or financing activities for any of the fiscal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32"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080"/>
        <w:jc w:val="left"/>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Various statements in this Form 10-Q, or incorporated by reference into this Form 10-Q, in future filings by us with the Securities and Exchange Commission (the "SEC"), in our press releases, and in oral statements made from time to time by representatives of the Company, may contain certain "forward-looking statements" within the meaning of the Private Securities Litigation Reform Act of 1995. Forward-looking statements include, without limitation, statements regarding our current expectations about the Company's future operating results and financial condition, the implementation and results of our strategic plans and initiatives, store openings and closings, capital expenses, our plans regarding our quarterly cash dividend and Class A common stock repurchase programs, and our ability to meet citizenship and sustainability goals. Forward-looking statements are based on current expectations and are indicated by words or phrases such as "aim," "anticipate," "outlook," "estimate," "ensure," "commit," "expect," "project," "believe," "envision," "goal," "target," "can," "will," and similar words or phrases. These forward-looking statements involve known and unknown risks, uncertainties, and other factors which may cause actual results, performance, or achievements to be materially different from the future results, performance, or achievements expressed in or implied by such forward-looking statements. These risks, uncertainties, and other factors include, among others: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loss of key personnel, including Mr. Ralph Lauren, or other changes in our executive and senior management team or to our operating structure, including any potential changes resulting from the execution of our long-term growth strategy, and our ability to effectively transfer knowledge and maintain adequate controls and procedures during periods of transition;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to our business resulting from the potential imposition of additional tariffs, duties, or taxes, changes to existing trade agreements, and other charges or barriers to trade, including those recently imposed by the U.S. following the U.S. Supreme Court ruling against the tariffs previously announced under the authority of the International Emergency Economic Powers Act ("IEEPA") and resulting potential refund status of the IEEPA tariffs, any retaliatory measures implemented by impacted countries, and any related impact to global stock markets, foreign currency exchange rates, and existing inflationary pressures, as well as our ability to implement mitigating sourcing strategies;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potential impact to our business resulting from inflationary pressures, including increases in the costs of raw materials, transportation, wages, healthcare, and other benefit-related costs;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economic, political, and other conditions on us, our customers, suppliers, vendors, and lenders, including potential business disruptions related to ongoing military conflicts taking place in various parts of the world, most notably the conflicts involving Iran and other ongoing hostilities in the Middle East, civil and political unrest, diplomatic tensions between the U.S. and other countries and any resulting anti-American sentiment, high interest rates, and bank failures, among other factors described herein;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to our business resulting from a prolonged slowdown in economic conditions or changes in consumers' ability, willingness, or preferences to purchase discretionary items and luxury retail products, which tends to decline during periods of economic downturn, and our ability to accurately forecast consumer demand, the failure of which could result in either a build-up or shortage of inventory;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potential impact to our business resulting from supply chain disruptions, including those caused by capacity constraints, closed factories and/or labor shortages (stemming from pandemic diseases, labor disputes, strikes, or otherwise), man-made or natural disasters, scarcity of raw materials, port congestion, and scrutiny or detention of goods produced in certain territories resulting from laws, regulations, or trade restrictions, such as those imposed by the Uyghur Forced Labor Prevention Act ("UFLPA") or the Countering America's Adversaries Through Sanctions Act ("CAATSA"), which could result in shipment approval delays leading to inventory shortages and lost sales, as well as potential shipping delays, inventory shortages, and/or higher freight and other operating costs resulting from port strikes, disruptions to major waterways, and/or increases in oil and other energy prices;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our tax obligations and effective tax rate due to a variety of factors, including potential changes in U.S. or foreign tax laws and regulations, accounting rules, or the mix and level of earnings by jurisdiction in future periods that are not currently known or anticipated;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effectively manage inventory levels and the increasing pressure on our margins in a highly promotional retail environment;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exposure to currency exchange rate fluctuations from both a transactional and translational perspective;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33"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efforts to successfully enhance, upgrade, and/or transition our global information technology systems and digital commerce platforms;</w:t>
      </w:r>
    </w:p>
    <w:p>
      <w:pPr>
        <w:pStyle w:val="TextBody"/>
        <w:bidi w:val="0"/>
        <w:spacing w:lineRule="auto" w:line="288" w:before="140" w:after="283"/>
        <w:ind w:left="0" w:right="0" w:hanging="360"/>
        <w:jc w:val="both"/>
        <w:rPr/>
      </w:pPr>
      <w:r>
        <w:rPr>
          <w:color w:val="000000"/>
        </w:rPr>
        <w:t>•</w:t>
      </w:r>
      <w:r>
        <w:rPr>
          <w:rFonts w:ascii="Times New Roman;serif" w:hAnsi="Times New Roman;serif"/>
          <w:b w:val="false"/>
          <w:color w:val="000000"/>
          <w:sz w:val="20"/>
        </w:rPr>
        <w:t>our ability and the ability of our third-party service providers to secure our respective facilities and systems from, among other things, cybersecurity breaches, acts of vandalism, computer viruses, ransomware, or similar Internet or email events;</w:t>
      </w:r>
    </w:p>
    <w:p>
      <w:pPr>
        <w:pStyle w:val="TextBody"/>
        <w:bidi w:val="0"/>
        <w:spacing w:lineRule="auto" w:line="288" w:before="140" w:after="283"/>
        <w:ind w:left="0" w:right="0" w:hanging="360"/>
        <w:jc w:val="both"/>
        <w:rPr/>
      </w:pPr>
      <w:r>
        <w:rPr>
          <w:color w:val="000000"/>
        </w:rPr>
        <w:t>•</w:t>
      </w:r>
      <w:r>
        <w:rPr>
          <w:rFonts w:ascii="Times New Roman;serif" w:hAnsi="Times New Roman;serif"/>
          <w:b w:val="false"/>
          <w:color w:val="000000"/>
          <w:sz w:val="20"/>
        </w:rPr>
        <w:t>the potential impact on our business arising from developments and operational risks related to the implementation of artificial intelligence technologies and associated evolving regulatory requirements;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recruit and retain qualified employees to operate our retail stores, distribution centers, and various corporate functions;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successfully implement our long-term growth strategy;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continue to expand and grow our business internationally and the impact of related changes in our customer, channel, and geographic sales mix as a result, as well as our ability to accelerate growth in certain product categories;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open new retail stores and concession shops, as well as enhance and expand our digital footprint and capabilities, all in an effort to expand our direct-to-consumer presence;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respond to constantly changing fashion and retail trends and consumer demands in a timely manner, develop products that resonate with our existing customers and attract new customers, and execute marketing and advertising programs that appeal to consumers;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competitively price our products and create an acceptable value proposition for consumers;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continue to maintain our brand image and reputation and protect our trademarks;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achieve our goals regarding citizenship and sustainability practices, including those related to climate change, our human capital, and our supply chain, or if our stakeholders disagree with such goals;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potential impact to our business if any of our distribution centers were to become inoperable or inaccessible;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the potential impact on our operations and on our suppliers and customers resulting from man-made or natural disasters, including pandemic diseases, severe weather, geological events, and other catastrophic events, such as terrorist attacks, military conflicts, and other hostilities;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achieve anticipated operating enhancements and cost reductions from our strategic initiatives and restructuring plans, as well as the resulting impact to our business, which may be dilutive to our earnings in the short term;</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to our business resulting from potential costs and obligations related to the early or temporary closure of our stores or termination of our long-term, non-cancellable leases;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maintain adequate levels of liquidity to provide for our cash needs, including our debt obligations, tax obligations, capital expenditures, and potential payment of dividends and repurchases of our Class A common stock, as well as the ability of our customers, suppliers, vendors, and lenders to access sources of liquidity to provide for their own cash needs;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potential impact to our business resulting from the financial difficulties of certain of our large wholesale customers, which may result in consolidations, liquidations, restructurings, and other ownership changes in the retail industry, as well as other changes in the competitive marketplace, including the introduction of new products or pricing changes by our competitors;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access capital markets and maintain compliance with covenants associated with our existing debt instruments;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a variety of legal, regulatory, tax, political, and economic risks, including risks related to the importation, exportation, and traceability and transparency of products which our operations are currently subject to, or may become subject to as a result of potential changes in legislation, and other risks associated with our international operations, such as compliance with the Foreign Corrupt Practices Act or violations of other anti-bribery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4" name="Frame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corruption laws prohibiting improper payments, and the burdens of complying with a variety of foreign laws and regulations, including tax laws, trade and labor restrictions, and related laws that may reduce the flexibility of our business;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potential impact to the trading prices of our securities if our operating results, Class A common stock share repurchase activity, and/or cash dividend payments differ from investors' expectations;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maintain our credit profile and ratings within the financial community;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intention to introduce new products or brands, or enter into or renew alliances;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the business of, and our relationships with, major wholesale customers and licensing partners;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make strategic acquisitions and successfully integrate the acquired businesses into our existing operations.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These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included in our Annual Report on Form 10-K for the fiscal year ended March 28, 2026 (the "Fiscal 2026 10-K"). There are no material changes to such risk factors, nor have we identified any previously undisclosed risks that could materially adversely affect our business, operating results, and/or financial condition, as set forth in Part II, Item 1A — "</w:t>
      </w:r>
      <w:r>
        <w:rPr>
          <w:rFonts w:ascii="Times New Roman;serif" w:hAnsi="Times New Roman;serif"/>
          <w:b w:val="false"/>
          <w:i/>
          <w:color w:val="000000"/>
          <w:sz w:val="20"/>
        </w:rPr>
        <w:t>Risk Factors</w:t>
      </w:r>
      <w:r>
        <w:rPr>
          <w:rFonts w:ascii="Times New Roman;serif" w:hAnsi="Times New Roman;serif"/>
          <w:b w:val="false"/>
          <w:color w:val="000000"/>
          <w:sz w:val="20"/>
        </w:rPr>
        <w:t>" of this Form 10-Q. We undertake no obligation to publicly update or revise any forward-looking statements, whether as a result of new information, future events, or otherwise.</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this Form 10-Q, references to "Ralph Lauren," "ourselves," "we," "our," "us," and the "Company" refer to Ralph Lauren Corporation and its subsidiaries, unless the context indicates otherwise. We utilize a 52-53 week fiscal year ending on the Saturday closest to March 31. As such, fiscal year 2027 will end on April 3, 2027 and will be a 53-week period ("Fiscal 2027"). Fiscal year 2026 ended on March 28, 2026 and was a 52-week period ("Fiscal 2026"). The first quarter of Fiscal 2027 ended on June 27, 2026 and was a 13-week period. The first quarter of Fiscal 2026 ended on June 28, 2025 and was also a 13-week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provided as a supplement to the accompanying consolidated financial statements and notes thereto to help provide an understanding of our results of operations, financial condition, and liquidity. MD&amp;A is organized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Overview.</w:t>
      </w:r>
      <w:r>
        <w:rPr>
          <w:color w:val="000000"/>
        </w:rPr>
        <w:t>    </w:t>
      </w:r>
      <w:r>
        <w:rPr>
          <w:rFonts w:ascii="Times New Roman;serif" w:hAnsi="Times New Roman;serif"/>
          <w:b w:val="false"/>
          <w:color w:val="000000"/>
          <w:sz w:val="20"/>
        </w:rPr>
        <w:t>This section provides a general description of our business, global economic conditions and industry trends, and a summary of our financial performance for the three-month period ended June 27, 2026. In addition, this section includes a discussion of recent developments and transactions affecting comparability that we believe are important in understanding our results of operations and financial condition, and in anticipating future trends.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Results of operations.</w:t>
      </w:r>
      <w:r>
        <w:rPr>
          <w:color w:val="000000"/>
        </w:rPr>
        <w:t>    </w:t>
      </w:r>
      <w:r>
        <w:rPr>
          <w:rFonts w:ascii="Times New Roman;serif" w:hAnsi="Times New Roman;serif"/>
          <w:b w:val="false"/>
          <w:color w:val="000000"/>
          <w:sz w:val="20"/>
        </w:rPr>
        <w:t>This section provides an analysis of our results of operations for the three-month period ended June 27, 2026 compared to the three-month period ended June 28, 2025.</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Financial condition and liquidity.</w:t>
      </w:r>
      <w:r>
        <w:rPr>
          <w:color w:val="000000"/>
        </w:rPr>
        <w:t>    </w:t>
      </w:r>
      <w:r>
        <w:rPr>
          <w:rFonts w:ascii="Times New Roman;serif" w:hAnsi="Times New Roman;serif"/>
          <w:b w:val="false"/>
          <w:color w:val="000000"/>
          <w:sz w:val="20"/>
        </w:rPr>
        <w:t>This section provides a discussion of our financial condition and liquidity as of June 27, 2026, which includes (i) an analysis of our financial condition as compared to the prior fiscal year-end; (ii) an analysis of changes in our cash flows for the three months ended June 27, 2026 compared to the three months ended June 28, 2025; (iii) an analysis of our liquidity, including the availability under our commercial paper borrowing program and credit facilities, our supplier finance program, outstanding debt and covenant compliance, common stock repurchases, and payments of dividends; and (iv) a description of any material changes in our material cash requirements since March 28, 2026.</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Market risk management.</w:t>
      </w:r>
      <w:r>
        <w:rPr>
          <w:color w:val="000000"/>
        </w:rPr>
        <w:t>    </w:t>
      </w:r>
      <w:r>
        <w:rPr>
          <w:rFonts w:ascii="Times New Roman;serif" w:hAnsi="Times New Roman;serif"/>
          <w:b w:val="false"/>
          <w:color w:val="000000"/>
          <w:sz w:val="20"/>
        </w:rPr>
        <w:t xml:space="preserve">This section discusses any significant changes in our risk exposures related to foreign currency exchange rates, interest rates, and our investments since March 28, 2026.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Critical accounting policies.</w:t>
      </w:r>
      <w:r>
        <w:rPr>
          <w:color w:val="000000"/>
        </w:rPr>
        <w:t>     </w:t>
      </w:r>
      <w:r>
        <w:rPr>
          <w:rFonts w:ascii="Times New Roman;serif" w:hAnsi="Times New Roman;serif"/>
          <w:b w:val="false"/>
          <w:color w:val="000000"/>
          <w:sz w:val="20"/>
        </w:rPr>
        <w:t>This section discusses any significant changes in our critical accounting policies since March 28, 2026. Critical accounting policies typically require significant judgment and estimation on the part of management in their application. In addition, all of our significant accounting policies, including our critical accounting policies, are summarized in Note 3 of the Fiscal 2026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35"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40"/>
        <w:ind w:left="0" w:right="0" w:hanging="360"/>
        <w:jc w:val="both"/>
        <w:rPr/>
      </w:pPr>
      <w:r>
        <w:rPr>
          <w:color w:val="000000"/>
        </w:rPr>
        <w:t>•</w:t>
      </w:r>
      <w:r>
        <w:rPr>
          <w:rFonts w:ascii="Times New Roman;serif" w:hAnsi="Times New Roman;serif"/>
          <w:b w:val="false"/>
          <w:i/>
          <w:color w:val="000000"/>
          <w:sz w:val="20"/>
        </w:rPr>
        <w:t>Recently issued accounting standards.</w:t>
      </w:r>
      <w:r>
        <w:rPr>
          <w:color w:val="000000"/>
        </w:rPr>
        <w:t>    </w:t>
      </w:r>
      <w:r>
        <w:rPr>
          <w:rFonts w:ascii="Times New Roman;serif" w:hAnsi="Times New Roman;serif"/>
          <w:b w:val="false"/>
          <w:color w:val="000000"/>
          <w:sz w:val="20"/>
        </w:rPr>
        <w:t>This section discusses the potential impact on our reported results of operations and financial condition of certain accounting standards that have been recently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2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Company is a global leader in the design, marketing, and distribution of luxury lifestyle products, including apparel, handbags, footwear &amp; accessories, fragrances, home, and hospitality. Our long-standing reputation and distinctive image have been developed across a wide range of products, brands, distribution channels, and international markets. Our brand names include Ralph Lauren, Ralph Lauren Collection, Ralph Lauren Purple Label, Double RL, Polo Ralph Lauren, Lauren Ralph Lauren, RLX Ralph Lauren, Polo Ralph Lauren Children, and Chaps, among others.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diversify our business by geography (North America, Europe, and Asia, among other regions) and channel of distribution (retail, wholesale, and licensing). This allows us to maintain a dynamic balance as our operating results do not depend solely on the performance of any single geographic area or channel of distribution. We sell directly to consumers through our integrated retail channel, which includes our retail stores, concession-based shop-within-shops, and digital commerce operations around the world. Our wholesale sales are made principally to major department stores, specialty stores, and third-party digital partners around the world, as well as to certain third-party-owned stores to which we have licensed the right to operate in defined geographic territories using our trademarks. In addition, we license to third parties for specified periods and geographies the right to access our various trademarks in connection with the licensees' manufacture and sale of designated products, such as certain apparel categories, eyewear, fragrances, and home furnishings.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organize our business into the following three reportable segments: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 xml:space="preserve">North America </w:t>
      </w:r>
      <w:r>
        <w:rPr>
          <w:color w:val="000000"/>
        </w:rPr>
        <w:t xml:space="preserve">— </w:t>
      </w:r>
      <w:r>
        <w:rPr>
          <w:rFonts w:ascii="Times New Roman;serif" w:hAnsi="Times New Roman;serif"/>
          <w:b w:val="false"/>
          <w:color w:val="000000"/>
          <w:sz w:val="20"/>
        </w:rPr>
        <w:t xml:space="preserve">Our North America segment, representing approximately 41% of our Fiscal 2026 net revenues, primarily consists of sales of our Ralph Lauren branded products made through our retail and wholesale businesses primarily in the U.S. and Canada. In North America, our retail business is primarily comprised of our Ralph Lauren stores, our outlet stores, and our digital commerce sites, www.RalphLauren.com and www.RalphLauren.ca. Our wholesale business in North America is comprised primarily of sales to department stores and, to a lesser extent, specialty stores.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 xml:space="preserve">Europe </w:t>
      </w:r>
      <w:r>
        <w:rPr>
          <w:color w:val="000000"/>
        </w:rPr>
        <w:t xml:space="preserve">— </w:t>
      </w:r>
      <w:r>
        <w:rPr>
          <w:rFonts w:ascii="Times New Roman;serif" w:hAnsi="Times New Roman;serif"/>
          <w:b w:val="false"/>
          <w:color w:val="000000"/>
          <w:sz w:val="20"/>
        </w:rPr>
        <w:t xml:space="preserve">Our Europe segment, representing approximately 31% of our Fiscal 2026 net revenues, primarily consists of sales of our Ralph Lauren branded products made through our retail and wholesale businesses in Europe and emerging markets. In Europe, our retail business is primarily comprised of our Ralph Lauren stores, our outlet stores, our concession-based shop-within-shops, and our various digital commerce sites. Our wholesale business in Europe is comprised primarily of a varying mix of sales to both department stores and specialty stores, depending on the country, as well as to various third-party digital and licensee partners.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 xml:space="preserve">Asia </w:t>
      </w:r>
      <w:r>
        <w:rPr>
          <w:color w:val="000000"/>
        </w:rPr>
        <w:t xml:space="preserve">— </w:t>
      </w:r>
      <w:r>
        <w:rPr>
          <w:rFonts w:ascii="Times New Roman;serif" w:hAnsi="Times New Roman;serif"/>
          <w:b w:val="false"/>
          <w:color w:val="000000"/>
          <w:sz w:val="20"/>
        </w:rPr>
        <w:t>Our Asia segment, representing approximately 26% of our Fiscal 2026 net revenues, primarily consists of sales of our Ralph Lauren branded products made through our retail and wholesale businesses in Asia, Australia, and New Zealand. Our retail business in Asia is primarily comprised of our Ralph Lauren stores, our outlet stores, our concession-based shop-within-shops, and our various digital commerce sites. In addition, we sell our products online through various third-party digital partner commerce sites. Our wholesale business in Asia is comprised primarily of sales to department stores and various third-party digital and licensee partners.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operating segments were aggregated to form our reportable segments. In addition to these reportable segments, we also have other non-reportable segments, representing approximately 2% of our Fiscal 2026 net revenues, which primarily consist of Ralph Lauren and Chaps branded royalty revenues earned through our global licensing alliances.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Approximately 59% of our Fiscal 2026 net revenues were earned outside of the U.S. See Note 16 to the accompanying consolidated financial statements for further discussion of our segment reporting structure.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typically affected by seasonal trends, with higher levels of retail sales in our second and third fiscal quarters and higher wholesale sales in our second and fourth fiscal quarters. These trends result primarily from the timing of key vacation travel, back-to-school, and holiday shopping periods impacting our retail business and timing of seasonal wholesale shipments. As a result of changes in our business, consumer spending patterns, and the macroeconomic environment, including those resulting from pandemic diseases and other catastrophic events, historical quarterly operating trends and working capital requirements may not be indicative of our future performance. In addition, fluctuations in sales,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8650"/>
                <wp:effectExtent l="0" t="0" r="0" b="0"/>
                <wp:wrapNone/>
                <wp:docPr id="36" name="Frame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(loss), and cash flows in any fiscal quarter may be affected by other events affecting retail sales, such as changes in weather patterns. Accordingly, our operating results and cash flows for the three-month period ended June 27, 2026 are not necessarily indicative of the operating results and cash flows that may be expected for the full Fiscal 2027.</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Next Generation Transformation Project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began a multi-year global project during our fiscal year ended March 30, 2024 that is expected to significantly transform the way in which we operate our business and further enable our long-term strategic pivot towards a global direct-to-consumer-oriented model (the "Next Generation Transformation project" or "NGT project"). The NGT project will span the next several years, with implementation occurring in phases by region and/or capability, and involves the redesign of certain end-to-end processes and the implementation of a suite of technology systems on a global scale. These efforts are expected to result in significant process improvements and the creation of synergies across core areas of operations, as well as financial planning and reporting, better enabling us to optimize inventory levels and increase the speed with which we react to changes in consumer demand across markets, among other benefits.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continue to advance key workstreams under the NGT project including completion of global design templates that support our core enterprise resource planning platform and related processes, automation of certain distribution center operations, and the global roll-out of merchandise allocation and long-range demand planning tools.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NGT project, we incurred other charges of $20.8 million and $11.0 million during the three-month periods ended June 27, 2026 and June 28, 2025, respectively, which were recorded within restructuring and other charges, net in the consolidated statements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Global Economic Conditions and Industry Trends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global economy and retail industry are impacted by many factors beyond our control. In April 2025, the U.S. announced significant changes to its trade policies under the authority of IEEPA, including broad-based tariff increases on foreign imported goods, with potential for new tariffs and further future increases to existing tariffs, as well as revisions or terminations to existing trade agreements. In response, many countries announced retaliatory tariffs on U.S. exports and other trade restrictions. In February 2026, the U.S. Supreme Court invalidated the IEEPA tariffs previously applied to our foreign imports, after which the U.S. announced additional tariffs under other trade authorities. In March 2026, the U.S. Court of International Trade issued an order directing U.S. Customs and Border Protection ("CBP") to refund IEEPA tariffs that were previously collected, and in April 2026, CBP announced the refund process, leveraging the Consolidated Administration and Processing of Entries Claim Portal through a phased rollout. While we have submitted refund claims for eligible IEEPA tariffs previously paid, the ultimate amount and timing of collection, and approval of any such refunds remain uncertain. Moreover, trade policy developments are ongoing and continue to create uncertainty regarding the future relationship between the U.S. and other countries, and could contribute to further trade restrictions, higher inflation, slower economic growth, supply chain disruptions, and continued volatility in global stock markets and foreign currency exchange rates.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evolving trade policies, the global economy has been negatively impacted by ongoing military conflicts, including those involving Iran and other hostilities in the Middle East, which have increased uncertainty around global energy and key shipping routes. Although our ongoing operations in the Middle East are not material, our business has been, and may continue to be, affected by the broader macroeconomic and supply chain implications of these conflicts and related disruptions, including higher energy, freight, and transportation costs, inflationary pressures, unfavorable foreign currency exchange rates, financial market volatility, and periodic shipping delays, among other factors. While our business has not been significantly impacted by such disruptions, we have experienced some shipping delays affecting the timing of inventory receipts. The duration and potential escalation of these conflicts and related disruptions remain uncertain and could result in further inventory receipt delays and/or higher freight and transportation costs in the near-term and beyond.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Overall economic conditions, including inflationary pressures, relatively elevated interest rates, foreign currency volatility, and organized labor disputes, continue to impact consumer discretionary income levels, spending, and sentiment in the U.S. and globally. Collectively, these conditions have contributed to a competitive and uncertain retail operating environment. In response to such pressures, and to reduce elevated inventory levels, many retailers (particularly in the U.S. and Europe) continue to resort to promotional activity to support traffic conversion. Furthermore, the department store sector continues to experience consolidations, restructurings, bankruptcies, other ownership changes, and store 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8650"/>
                <wp:effectExtent l="0" t="0" r="0" b="0"/>
                <wp:wrapNone/>
                <wp:docPr id="37" name="Frame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response to these macroeconomic, industry, and geopolitical pressures, we have implemented various global strategies to address many of these challenges and continue to build a foundation for long-term profitable growth by strengthening our consumer-facing areas and driving a more efficient operating model. We have also proactively diversified our supply chain from a geographic perspective and believe we can further mitigate cost pressures through disciplined inventory management, supplier negotiations, our ability to change country of origin, and pricing actions. However, the tariff environment remains dynamic and unpredictable, and significant increases in tariffs across our supply chain could negatively impact our profitability. Despite the competitive environment, we remain focused on executing our broader long-term strategy of brand elevation, which includes multiple levers to continue driving average unit retail growth and brand equity. We continue to monitor the geopolitical and macroeconomic environment, including evolving trade policies, tariffs, and disruption or volatility affecting key shipping routes, and adjust our operating strategies to help mitigate the related impacts on our results of operations.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For a detailed discussion of significant risk factors that have the potential to cause our actual results to differ materially from our expectations, see Part I, Item 1A — "</w:t>
      </w:r>
      <w:r>
        <w:rPr>
          <w:rFonts w:ascii="Times New Roman;serif" w:hAnsi="Times New Roman;serif"/>
          <w:b w:val="false"/>
          <w:i/>
          <w:color w:val="000000"/>
          <w:sz w:val="20"/>
        </w:rPr>
        <w:t>Risk Factors</w:t>
      </w:r>
      <w:r>
        <w:rPr>
          <w:rFonts w:ascii="Times New Roman;serif" w:hAnsi="Times New Roman;serif"/>
          <w:b w:val="false"/>
          <w:color w:val="000000"/>
          <w:sz w:val="20"/>
        </w:rPr>
        <w:t>" in our Fiscal 2026 10-K.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Summary of Financial Performance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Results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we reported net revenues of $1.960 billion, net income of $262.2 million, and net income per diluted share of $4.28, as compared to net revenues of $1.719 billion, net income of $220.4 million, and net income per diluted share of $3.52 during the three months ended June 28, 2025. The comparability of our operating results has been affected by net restructuring-related charges and certain other charges (benefits), as well as foreign currency volatility. Our operating results are also susceptible to changes in macroeconomic conditions.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Our operating performance for the three-month period ended June 27, 2026 as compared to the prior fiscal year period reflected revenue growth of 14.0% on a reported basis and 13.4% on a constant currency basis, as defined within "</w:t>
      </w:r>
      <w:r>
        <w:rPr>
          <w:rFonts w:ascii="Times New Roman;serif" w:hAnsi="Times New Roman;serif"/>
          <w:b w:val="false"/>
          <w:i/>
          <w:color w:val="000000"/>
          <w:sz w:val="20"/>
        </w:rPr>
        <w:t>Transactions and Trends Affecting Comparability of Results of Operations and Financial Condition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below. Net revenues reflected growth across all of our reportable segments.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gross profit as a percentage of net revenues increased by 140 basis points to 73.7% during the three months ended June 27, 2026 as compared to the prior fiscal year period, primarily driven by average unit retail ("AUR") growth, and, to a lesser extent, favorable channel and geographic mix shifts, more than offsetting pressure from tariffs and other product costs.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as a percentage of net revenues during the three months ended June 27, 2026 declined by 20 basis points to 55.0% as compared to the prior fiscal year period, largely attributable to operating leverage on higher net revenues.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increased by $41.8 million to $262.2 million during the three months ended June 27, 2026 as compared to the three months ended June 28, 2025, primarily due to a $68.8 million increase in our operating income, partly offset by a $22.4 million increase in our income tax provision. Net income per diluted share increased by $0.76 to $4.28 per share during the three months ended June 27, 2026 as compared to the three months ended June 28, 2025, driven by the higher level of net income and lower weighted-average diluted shares outstanding.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three-month periods ended June 27, 2026 and June 28, 2025, our operating results were negatively impacted by net restructuring-related charges and certain other charges (benefits) totaling $23.5 million and $19.3 million, respectively, which had an after-tax effect of reducing net income by $18.8 million, or $0.31 per diluted share, and $15.4 million, or $0.25 per diluted share, respectively.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Financial Condition and Liquidity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27, 2026, net cash and short-term investments position (calculated as cash and cash equivalents, plus short-term investments, less total debt) was $702.2 million, as compared to $826.1 million as of the end of Fiscal 2026. The decrease in our net cash and short-term investments position was primarily due to our use of cash to support Class A common stock repurchases of $325.1 million, including $75.1 million of share withholdings in satisfaction of tax obligations related to the vesting of stock-based compensation awards, to make dividend payments of $54.8 million, to invest in our business through $53.4 million of capital expenditures, and the unfavorable effect of exchange rate changes of $16.5 million, primarily related to our cash and cash equivalents, partly offset by our operating cash flows of $339.3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8650"/>
                <wp:effectExtent l="0" t="0" r="0" b="0"/>
                <wp:wrapNone/>
                <wp:docPr id="38" name="Frame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$339.3 million during the three months ended June 27, 2026, as compared to $176.1 million during the three months ended June 28, 2025. The net increase in cash provided by operating activities was primarily due to a net favorable change related to lower inventory levels as compared to the prior fiscal year period, as well as an increase in net income before non-cash charges.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equity decreased to $2.722 billion as of June 27, 2026 compared to $2.841 billion as of March 28, 2026 due to our share repurchase activity and dividends declared during the three months ended June 27, 2026, partly offset by our comprehensive income and the net impact of stock-based compensation arrangements.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Transactions and Trends Affecting Comparability of Results of Operations and Financial Condition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comparability of our operating results for the three-month periods ended June 27, 2026 and June 28, 2025 has been affected by certain transactions, including pretax charges incurred in connection with our restructuring activities and certain other benefits (charges), as summarized below (references to "Notes" are to the notes to the accompanying consolidated financial statements):</w:t>
      </w:r>
    </w:p>
    <w:tbl>
      <w:tblPr>
        <w:tblW w:w="7476" w:type="dxa"/>
        <w:jc w:val="left"/>
        <w:tblInd w:w="0" w:type="dxa"/>
        <w:tblLayout w:type="fixed"/>
        <w:tblCellMar>
          <w:top w:w="28" w:type="dxa"/>
          <w:left w:w="28" w:type="dxa"/>
          <w:bottom w:w="28" w:type="dxa"/>
          <w:right w:w="28" w:type="dxa"/>
        </w:tblCellMar>
      </w:tblPr>
      <w:tblGrid>
        <w:gridCol w:w="1467"/>
        <w:gridCol w:w="1290"/>
        <w:gridCol w:w="1293"/>
        <w:gridCol w:w="109"/>
        <w:gridCol w:w="109"/>
        <w:gridCol w:w="109"/>
        <w:gridCol w:w="109"/>
        <w:gridCol w:w="109"/>
        <w:gridCol w:w="155"/>
        <w:gridCol w:w="155"/>
        <w:gridCol w:w="301"/>
        <w:gridCol w:w="837"/>
        <w:gridCol w:w="155"/>
        <w:gridCol w:w="109"/>
        <w:gridCol w:w="109"/>
        <w:gridCol w:w="109"/>
        <w:gridCol w:w="211"/>
        <w:gridCol w:w="58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278" w:type="dxa"/>
            <w:gridSpan w:val="6"/>
            <w:tcBorders/>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 (see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Non-routine bad debt expense reversals</w:t>
            </w:r>
            <w:r>
              <w:rPr>
                <w:rFonts w:ascii="Times New Roman;serif" w:hAnsi="Times New Roman;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Non-routine bad debt expense reversals are recorded within SG&amp;A expenses in the consolidated statements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we are a global company, the comparability of our operating results reported in U.S. Dollars is also affected by foreign currency exchange rate fluctuations because the underlying currencies in which we transact change in value over time compared to the U.S. Dollar. Such fluctuations can have a significant effect on our reported results. As such, in addition to financial measures prepared in accordance with accounting principles generally accepted in the U.S. ("U.S. GAAP"), our discussions often contain references to constant currency measures, which are calculated by translating current-year and prior-year reported amounts into comparable amounts using a single foreign exchange rate for each currency. We present constant currency financial information, which is a non-U.S. GAAP financial measure, as a supplement to our reported operating results. We use constant currency information to provide a framework for assessing how our businesses performed excluding the effects of foreign currency exchange rate fluctuations. We believe this information is useful to investors for facilitating comparisons of operating results and better identifying trends in our businesses. The constant currency performance measures should be viewed in addition to, and not in lieu of or superior to, our operating performance measures calculated in accordance with U.S. GAAP. Reconciliations between this non-U.S. GAAP financial measure and the most directly comparable U.S. GAAP measure are included in the "Results of Operations" section where applicable.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discussion also includes reference to comparable store sales. Comparable store sales refer to the change in sales of our stores that have been open for at least 13 full fiscal months. Sales from our digital commerce sites are also included within comparable sales for those geographies that have been serviced by the related site for at least 13 full fiscal months. Sales for stores or digital commerce sites that are closed or shut down during the year are excluded from the calculation of comparable store sales. Sales for stores that are either relocated, enlarged (as defined by gross square footage expansion of 25% or greater), or generally closed for 30 or more consecutive days for renovation are also excluded from the calculation of comparable store sales until such stores have been operating in their new location or in their newly renovated state for at least 13 full fiscal months. All comparable store sales metrics are calculated on a constant currency basis. </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"Results of Operations" discussion that follows includes the significant changes in operating results arising from these items affecting comparability. However, unusual items or transactions may occur in any period. Accordingly, investors and other financial statement users should consider the types of events and transactions that have affected operating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8650"/>
                <wp:effectExtent l="0" t="0" r="0" b="0"/>
                <wp:wrapNone/>
                <wp:docPr id="39"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Three Months Ended June 27, 2026 Compared to Three Months Ended June 28, 2025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and expresses the percentage relationship to net revenues of certain financial statement captions. All percentages shown in the table below and the discussion that follows have been calculated using unrounded numbers.</w:t>
      </w:r>
    </w:p>
    <w:tbl>
      <w:tblPr>
        <w:tblW w:w="9463" w:type="dxa"/>
        <w:jc w:val="left"/>
        <w:tblInd w:w="0" w:type="dxa"/>
        <w:tblLayout w:type="fixed"/>
        <w:tblCellMar>
          <w:top w:w="28" w:type="dxa"/>
          <w:left w:w="28" w:type="dxa"/>
          <w:bottom w:w="28" w:type="dxa"/>
          <w:right w:w="28" w:type="dxa"/>
        </w:tblCellMar>
      </w:tblPr>
      <w:tblGrid>
        <w:gridCol w:w="1368"/>
        <w:gridCol w:w="1202"/>
        <w:gridCol w:w="1209"/>
        <w:gridCol w:w="109"/>
        <w:gridCol w:w="109"/>
        <w:gridCol w:w="109"/>
        <w:gridCol w:w="211"/>
        <w:gridCol w:w="766"/>
        <w:gridCol w:w="271"/>
        <w:gridCol w:w="109"/>
        <w:gridCol w:w="109"/>
        <w:gridCol w:w="109"/>
        <w:gridCol w:w="211"/>
        <w:gridCol w:w="766"/>
        <w:gridCol w:w="271"/>
        <w:gridCol w:w="109"/>
        <w:gridCol w:w="109"/>
        <w:gridCol w:w="109"/>
        <w:gridCol w:w="211"/>
        <w:gridCol w:w="616"/>
        <w:gridCol w:w="109"/>
        <w:gridCol w:w="109"/>
        <w:gridCol w:w="109"/>
        <w:gridCol w:w="109"/>
        <w:gridCol w:w="263"/>
        <w:gridCol w:w="263"/>
        <w:gridCol w:w="418"/>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 bps</w:t>
              <w:br/>
              <w:t>Change</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revenues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profit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as %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140 bps</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SG&amp;A expenses as %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 bps)</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Operating income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 as %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160 bps</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Income before income taxes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Effective tax rate</w:t>
            </w:r>
            <w:r>
              <w:rPr>
                <w:rFonts w:ascii="Times New Roman;serif" w:hAnsi="Times New Roman;serif"/>
                <w:b/>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270 bps</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Basic</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both"/>
        <w:rPr/>
      </w:pPr>
      <w:r>
        <w:rPr>
          <w:rFonts w:ascii="Times New Roman;serif" w:hAnsi="Times New Roman;serif"/>
          <w:b/>
          <w:color w:val="000000"/>
          <w:sz w:val="13"/>
        </w:rPr>
        <w:t>(a)</w:t>
      </w:r>
      <w:r>
        <w:rPr>
          <w:rFonts w:ascii="Times New Roman;serif" w:hAnsi="Times New Roman;serif"/>
          <w:b w:val="false"/>
          <w:color w:val="000000"/>
          <w:sz w:val="20"/>
        </w:rPr>
        <w:t>Effective tax rate is calculated by dividing the income tax provision by income before income taxes.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Net Revenues.</w:t>
      </w:r>
      <w:r>
        <w:rPr>
          <w:color w:val="000000"/>
        </w:rPr>
        <w:t>    </w:t>
      </w:r>
      <w:r>
        <w:rPr>
          <w:rFonts w:ascii="Times New Roman;serif" w:hAnsi="Times New Roman;serif"/>
          <w:b w:val="false"/>
          <w:color w:val="000000"/>
          <w:sz w:val="20"/>
        </w:rPr>
        <w:t>Net revenues increased by $240.7 million, or 14.0%, to $1.960 billion during the three months ended June 27, 2026 as compared to the three months ended June 28, 2025, reflecting growth across our reportable segments, including favorable foreign currency effects of $10.0 million. On a constant currency basis, net revenues increased by $230.7 million, or 13.4%.</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change in our consolidated comparable store sales for the three months ended June 27, 2026 as compared to the prior fiscal year period:</w:t>
      </w:r>
    </w:p>
    <w:tbl>
      <w:tblPr>
        <w:tblW w:w="3658"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186"/>
        <w:gridCol w:w="186"/>
        <w:gridCol w:w="54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commerce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Brick and mortar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comparable store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global average store count increased by 1 store and concession shop during the three months ended June 27, 2026 compared with the three months ended June 28, 2025, primarily due to new full price store openings in Asia, largely offset by concession shop closures also in Asia.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8650"/>
                <wp:effectExtent l="0" t="0" r="0" b="0"/>
                <wp:wrapNone/>
                <wp:docPr id="40" name="Frame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our retail store presence by segment as of the periods presented:</w:t>
      </w:r>
    </w:p>
    <w:tbl>
      <w:tblPr>
        <w:tblW w:w="4560" w:type="dxa"/>
        <w:jc w:val="left"/>
        <w:tblInd w:w="0" w:type="dxa"/>
        <w:tblLayout w:type="fixed"/>
        <w:tblCellMar>
          <w:top w:w="28" w:type="dxa"/>
          <w:left w:w="28" w:type="dxa"/>
          <w:bottom w:w="28" w:type="dxa"/>
          <w:right w:w="28" w:type="dxa"/>
        </w:tblCellMar>
      </w:tblPr>
      <w:tblGrid>
        <w:gridCol w:w="766"/>
        <w:gridCol w:w="673"/>
        <w:gridCol w:w="675"/>
        <w:gridCol w:w="109"/>
        <w:gridCol w:w="109"/>
        <w:gridCol w:w="109"/>
        <w:gridCol w:w="315"/>
        <w:gridCol w:w="301"/>
        <w:gridCol w:w="241"/>
        <w:gridCol w:w="109"/>
        <w:gridCol w:w="109"/>
        <w:gridCol w:w="109"/>
        <w:gridCol w:w="308"/>
        <w:gridCol w:w="308"/>
        <w:gridCol w:w="319"/>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Freestanding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freestanding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Concession Shops: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concession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our stores, we sell products online in North America, Europe, and Asia through our various digital commerce sites, as well as through our Polo mobile apps in the U.S. and Canada. We also sell products online through various third-party digital partner commerce sites, primarily in Asia.</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revenues for our segments, as well as a discussion of the changes in each reportable segment's net revenues from the comparable prior fiscal year period, are provided below:</w:t>
      </w:r>
    </w:p>
    <w:tbl>
      <w:tblPr>
        <w:tblW w:w="10335" w:type="dxa"/>
        <w:jc w:val="left"/>
        <w:tblInd w:w="0" w:type="dxa"/>
        <w:tblLayout w:type="fixed"/>
        <w:tblCellMar>
          <w:top w:w="28" w:type="dxa"/>
          <w:left w:w="28" w:type="dxa"/>
          <w:bottom w:w="28" w:type="dxa"/>
          <w:right w:w="28" w:type="dxa"/>
        </w:tblCellMar>
      </w:tblPr>
      <w:tblGrid>
        <w:gridCol w:w="478"/>
        <w:gridCol w:w="419"/>
        <w:gridCol w:w="424"/>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55"/>
        <w:gridCol w:w="256"/>
        <w:gridCol w:w="383"/>
        <w:gridCol w:w="109"/>
        <w:gridCol w:w="109"/>
        <w:gridCol w:w="109"/>
        <w:gridCol w:w="255"/>
        <w:gridCol w:w="256"/>
        <w:gridCol w:w="445"/>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Foreign Exchange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Constant</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As</w:t>
              <w:b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Constant</w:t>
              <w:br/>
              <w:t>Currency</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i/>
          <w:color w:val="000000"/>
          <w:sz w:val="20"/>
        </w:rPr>
        <w:t>North America net revenues</w:t>
      </w:r>
      <w:r>
        <w:rPr>
          <w:color w:val="000000"/>
        </w:rPr>
        <w:t xml:space="preserve"> — </w:t>
      </w:r>
      <w:r>
        <w:rPr>
          <w:rFonts w:ascii="Times New Roman;serif" w:hAnsi="Times New Roman;serif"/>
          <w:b w:val="false"/>
          <w:color w:val="000000"/>
          <w:sz w:val="20"/>
        </w:rPr>
        <w:t>Net revenues increased by $84.1 million, or 12.8%, during the three months ended June 27, 2026 as compared to the three months ended June 28, 2025. On a constant currency basis, net revenues increased by $84.0 million, or 12.8%.</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$84.1 million increase in North America net revenues was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 $42.2 million increase related to our North America retail business. On a constant currency basis, net revenues increased by $42.1 million, reflecting an increase of $42.0 million in comparable store sales. The increase in our comparable store sales reflected high-teens AUR growth and higher traffic during the three months ended June 27, 2026 as compared to the three months ended June 28, 2025. The following table summarizes the percentage changes in comparable store sales related to our North America retail business:</w:t>
      </w:r>
    </w:p>
    <w:tbl>
      <w:tblPr>
        <w:tblW w:w="3658"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186"/>
        <w:gridCol w:w="186"/>
        <w:gridCol w:w="54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commerce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Brick and mortar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comparable store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 $41.9 million increase related to our North America wholesale business, driven by strong selling trends and replenishment orders, including resumed shipments to a luxury wholesale account, and a favorable timing shift of inventory shipments.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8650"/>
                <wp:effectExtent l="0" t="0" r="0" b="0"/>
                <wp:wrapNone/>
                <wp:docPr id="41"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Europe net revenues</w:t>
      </w:r>
      <w:r>
        <w:rPr>
          <w:color w:val="000000"/>
        </w:rPr>
        <w:t xml:space="preserve"> — </w:t>
      </w:r>
      <w:r>
        <w:rPr>
          <w:rFonts w:ascii="Times New Roman;serif" w:hAnsi="Times New Roman;serif"/>
          <w:b w:val="false"/>
          <w:color w:val="000000"/>
          <w:sz w:val="20"/>
        </w:rPr>
        <w:t>Net revenues increased by $39.9 million, or 7.2%, during the three months ended June 27, 2026 as compared to the three months ended June 28, 2025. On a constant currency basis, net revenues increased by $25.2 million, or 4.6%.</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$39.9 million increase in Europe net revenues was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 $30.8 million increase related to our Europe wholesale business, driven by positive selling trends and a favorable timing shift of inventory shipments, as well as favorable foreign currency effects of $8.3 million;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 $9.1 million increase related to our Europe retail business, inclusive of favorable foreign currency effects of $6.4 million. On a constant currency basis, net revenues increased by $2.7 million, reflecting an increase of $3.7 million in comparable store sales, partly offset by a decrease of $1.0 million in non-comparable store sales. The increase in our comparable store sales reflected low-single digit AUR growth during the three months ended June 27, 2026 as compared to the three months ended June 28, 2025. The following table summarizes the percentage changes in comparable store sales related to our Europe retail business:</w:t>
      </w:r>
    </w:p>
    <w:tbl>
      <w:tblPr>
        <w:tblW w:w="3658"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186"/>
        <w:gridCol w:w="186"/>
        <w:gridCol w:w="54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commerce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Brick and mortar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comparable store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i/>
          <w:color w:val="000000"/>
          <w:sz w:val="20"/>
        </w:rPr>
        <w:t>Asia net revenues</w:t>
      </w:r>
      <w:r>
        <w:rPr>
          <w:color w:val="000000"/>
        </w:rPr>
        <w:t xml:space="preserve"> — </w:t>
      </w:r>
      <w:r>
        <w:rPr>
          <w:rFonts w:ascii="Times New Roman;serif" w:hAnsi="Times New Roman;serif"/>
          <w:b w:val="false"/>
          <w:color w:val="000000"/>
          <w:sz w:val="20"/>
        </w:rPr>
        <w:t>Net revenues increased by $115.3 million, or 24.3%, during the three months ended June 27, 2026 as compared to the three months ended June 28, 2025. On a constant currency basis, net revenues increased by $120.1 million, or 25.3%.</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$115.3 million increase in Asia net revenues was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a $116.8 million increase related to our Asia retail business, inclusive of unfavorable foreign currency effects of $5.0 million. On a constant currency basis, net revenues increased by $121.8 million, reflecting increases of $88.3 million in comparable store sales and $33.5 million in non-comparable store sales. The increase in our comparable store sales reflected mid-teens AUR growth and higher traffic during the three months ended June 27, 2026 as compared to the three months ended June 28, 2025. The following table summarizes the percentage changes in comparable store sales related to our Asia retail business: </w:t>
      </w:r>
    </w:p>
    <w:tbl>
      <w:tblPr>
        <w:tblW w:w="3658"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186"/>
        <w:gridCol w:w="186"/>
        <w:gridCol w:w="54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commerce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Brick and mortar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comparable store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i/>
          <w:color w:val="000000"/>
          <w:sz w:val="20"/>
        </w:rPr>
        <w:t>Gross Profit.   </w:t>
      </w:r>
      <w:r>
        <w:rPr>
          <w:color w:val="000000"/>
        </w:rPr>
        <w:t> </w:t>
      </w:r>
      <w:r>
        <w:rPr>
          <w:rFonts w:ascii="Times New Roman;serif" w:hAnsi="Times New Roman;serif"/>
          <w:b w:val="false"/>
          <w:color w:val="000000"/>
          <w:sz w:val="20"/>
        </w:rPr>
        <w:t>Gross profit increased by $201.9 million, or 16.2%, to $1.444 billion for the three months ended June 27, 2026, including favorable foreign currency effects of $8.9 million. Gross profit as a percentage of net revenues increased to 73.7% for the three months ended June 27, 2026 from 72.3% for the three months ended June 28, 2025. The 140 basis point increase reflected favorable foreign currency effects of approximately 10 basis points. The remaining 130 basis point improvement was primarily due to mid-teens AUR growth as well as favorable channel and geographic mix shifts, more than offsetting pressure from tariffs and other product costs.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Gross profit is the difference between total net revenues and cost of goods sold. Cost of goods sold includes the amounts incurred to acquire and produce inventory for sale to our customers, including product costs, freight-in, and import costs, as well as changes in reserves for shrinkage and inventory realizability. Gains and losses associated with forward foreign currency exchange contracts that are designated and qualifying as cash flow hedges of inventory transactions are also recognized within cost of goods sold when the hedged inventory is sold. The costs of selling merchandise, including those associated with preparing merchandise for sale, such as picking, packing, warehousing, and order charges, are included in SG&amp;A expenses in the consolidated statements of operations. As a result, our gross profit may not be comparable to that of other entities.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Selling, General, and Administrative Expenses.</w:t>
      </w:r>
      <w:r>
        <w:rPr>
          <w:color w:val="000000"/>
        </w:rPr>
        <w:t>    </w:t>
      </w:r>
      <w:r>
        <w:rPr>
          <w:rFonts w:ascii="Times New Roman;serif" w:hAnsi="Times New Roman;serif"/>
          <w:b w:val="false"/>
          <w:color w:val="000000"/>
          <w:sz w:val="20"/>
        </w:rPr>
        <w:t xml:space="preserve">SG&amp;A expenses include costs relating to compensation and benefits, marketing and advertising, rent and occupancy, distribution, information technology, legal, depreciation and amortization, bad debt, and other selling and administrative costs. SG&amp;A expenses increased by $127.6 million, or 13.4%, to $1.077 billion for the three months ended June 27, 2026, including unfavorable foreign currency effects of $4.4 million. SG&amp;A expenses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8650"/>
                <wp:effectExtent l="0" t="0" r="0" b="0"/>
                <wp:wrapNone/>
                <wp:docPr id="42" name="Frame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percentage of net revenues declined to 55.0% for the three months ended June 27, 2026 from 55.2% for the three months ended June 28, 2025. The 20 basis point decline was largely attributable to operating leverage on higher net revenues.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$127.6 million increase in SG&amp;A expenses was driven by:</w:t>
      </w:r>
    </w:p>
    <w:tbl>
      <w:tblPr>
        <w:tblW w:w="6101" w:type="dxa"/>
        <w:jc w:val="left"/>
        <w:tblInd w:w="0" w:type="dxa"/>
        <w:tblLayout w:type="fixed"/>
        <w:tblCellMar>
          <w:top w:w="28" w:type="dxa"/>
          <w:left w:w="28" w:type="dxa"/>
          <w:bottom w:w="28" w:type="dxa"/>
          <w:right w:w="28" w:type="dxa"/>
        </w:tblCellMar>
      </w:tblPr>
      <w:tblGrid>
        <w:gridCol w:w="1106"/>
        <w:gridCol w:w="973"/>
        <w:gridCol w:w="980"/>
        <w:gridCol w:w="109"/>
        <w:gridCol w:w="109"/>
        <w:gridCol w:w="109"/>
        <w:gridCol w:w="584"/>
        <w:gridCol w:w="1705"/>
        <w:gridCol w:w="426"/>
      </w:tblGrid>
      <w:tr>
        <w:trPr/>
        <w:tc>
          <w:tcPr>
            <w:tcW w:w="110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27, 2026</w:t>
              <w:br/>
              <w:t>Compared to</w:t>
              <w:br/>
              <w:t>Three Months Ended June 28, 2025</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SG&amp;A expense category: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occupancy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Staff-related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increase in 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Restructuring and Other Charges, Net. </w:t>
      </w:r>
      <w:r>
        <w:rPr>
          <w:rFonts w:ascii="Times New Roman;serif" w:hAnsi="Times New Roman;serif"/>
          <w:b w:val="false"/>
          <w:color w:val="000000"/>
          <w:sz w:val="20"/>
        </w:rPr>
        <w:t>Restructuring and other charges, net during the three-month periods ended June 27, 2026 and June 28, 2025 consisted primarily of net restructuring charges of $3.0 million and $6.4 million, respectively, associated with severance and benefits costs, as well as other charges of $20.8 million and $11.0 million, respectively, incurred in connection with our Next Generation Transformation project (refer to "</w:t>
      </w:r>
      <w:r>
        <w:rPr>
          <w:rFonts w:ascii="Times New Roman;serif" w:hAnsi="Times New Roman;serif"/>
          <w:b w:val="false"/>
          <w:i/>
          <w:color w:val="000000"/>
          <w:sz w:val="20"/>
        </w:rPr>
        <w:t>Recent Developments</w:t>
      </w:r>
      <w:r>
        <w:rPr>
          <w:rFonts w:ascii="Times New Roman;serif" w:hAnsi="Times New Roman;serif"/>
          <w:b w:val="false"/>
          <w:color w:val="000000"/>
          <w:sz w:val="20"/>
        </w:rPr>
        <w:t>" for additional discussion). See Note 7 to the accompanying consolidated financial statements.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Operating Income.</w:t>
      </w:r>
      <w:r>
        <w:rPr>
          <w:color w:val="000000"/>
        </w:rPr>
        <w:t>   </w:t>
      </w:r>
      <w:r>
        <w:rPr>
          <w:rFonts w:ascii="Times New Roman;serif" w:hAnsi="Times New Roman;serif"/>
          <w:b w:val="false"/>
          <w:color w:val="000000"/>
          <w:sz w:val="20"/>
        </w:rPr>
        <w:t>Operating income increased by $68.8 million, or 25.2%, to $342.4 million for the three months ended June 27, 2026, reflecting favorable foreign currency effects of $4.5 million. Our operating results during the three-month periods ended June 27, 2026 and June 28, 2025 were negatively impacted by net restructuring-related charges and certain other charges (benefits) totaling $23.5 million and $19.3 million, respectively. Operating income as a percentage of net revenues was 17.5% for the three months ended June 27, 2026, reflecting a 160 basis point increase from the prior fiscal year period. The increase in operating income as a percentage of net revenues was primarily driven by the increase in our gross margin, as well as a decrease in SG&amp;A expenses as a percentage of net revenues.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income and margin for our segments, as well as a discussion of the changes in each reportable segment's operating margin from the comparable prior fiscal year period, are provided below:</w:t>
      </w:r>
    </w:p>
    <w:tbl>
      <w:tblPr>
        <w:tblW w:w="10205" w:type="dxa"/>
        <w:jc w:val="left"/>
        <w:tblInd w:w="0" w:type="dxa"/>
        <w:tblLayout w:type="fixed"/>
        <w:tblCellMar>
          <w:top w:w="28" w:type="dxa"/>
          <w:left w:w="28" w:type="dxa"/>
          <w:bottom w:w="28" w:type="dxa"/>
          <w:right w:w="28" w:type="dxa"/>
        </w:tblCellMar>
      </w:tblPr>
      <w:tblGrid>
        <w:gridCol w:w="926"/>
        <w:gridCol w:w="816"/>
        <w:gridCol w:w="823"/>
        <w:gridCol w:w="109"/>
        <w:gridCol w:w="109"/>
        <w:gridCol w:w="109"/>
        <w:gridCol w:w="211"/>
        <w:gridCol w:w="616"/>
        <w:gridCol w:w="109"/>
        <w:gridCol w:w="109"/>
        <w:gridCol w:w="109"/>
        <w:gridCol w:w="109"/>
        <w:gridCol w:w="255"/>
        <w:gridCol w:w="256"/>
        <w:gridCol w:w="476"/>
        <w:gridCol w:w="109"/>
        <w:gridCol w:w="109"/>
        <w:gridCol w:w="109"/>
        <w:gridCol w:w="211"/>
        <w:gridCol w:w="616"/>
        <w:gridCol w:w="109"/>
        <w:gridCol w:w="109"/>
        <w:gridCol w:w="109"/>
        <w:gridCol w:w="109"/>
        <w:gridCol w:w="255"/>
        <w:gridCol w:w="256"/>
        <w:gridCol w:w="476"/>
        <w:gridCol w:w="109"/>
        <w:gridCol w:w="109"/>
        <w:gridCol w:w="109"/>
        <w:gridCol w:w="211"/>
        <w:gridCol w:w="511"/>
        <w:gridCol w:w="109"/>
        <w:gridCol w:w="109"/>
        <w:gridCol w:w="109"/>
        <w:gridCol w:w="109"/>
        <w:gridCol w:w="233"/>
        <w:gridCol w:w="233"/>
        <w:gridCol w:w="535"/>
      </w:tblGrid>
      <w:tr>
        <w:trPr/>
        <w:tc>
          <w:tcPr>
            <w:tcW w:w="92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5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Margin</w:t>
              <w:br/>
              <w:t>Change</w:t>
            </w:r>
          </w:p>
        </w:tc>
      </w:tr>
      <w:tr>
        <w:trPr/>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bps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bps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bps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bps)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Restructuring and other charges, net</w:t>
            </w:r>
            <w:r>
              <w:rPr>
                <w:rFonts w:ascii="Times New Roman;serif" w:hAnsi="Times New Roman;serif"/>
                <w:b/>
                <w:color w:val="000000"/>
                <w:sz w:val="13"/>
              </w:rPr>
              <w:t>(a)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bps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pPr>
      <w:r>
        <w:rPr>
          <w:rFonts w:ascii="Times New Roman;serif" w:hAnsi="Times New Roman;serif"/>
          <w:b/>
          <w:color w:val="000000"/>
          <w:sz w:val="13"/>
        </w:rPr>
        <w:t>(a)</w:t>
      </w:r>
      <w:r>
        <w:rPr>
          <w:rFonts w:ascii="Times New Roman;serif" w:hAnsi="Times New Roman;serif"/>
          <w:b w:val="false"/>
          <w:color w:val="000000"/>
          <w:sz w:val="20"/>
        </w:rPr>
        <w:t>See discussion above for additional information related to restructuring and other charges, net recorded during the fiscal periods presented.</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North America operating margin</w:t>
      </w:r>
      <w:r>
        <w:rPr>
          <w:color w:val="000000"/>
        </w:rPr>
        <w:t xml:space="preserve"> </w:t>
      </w:r>
      <w:r>
        <w:rPr>
          <w:rFonts w:ascii="Times New Roman;serif" w:hAnsi="Times New Roman;serif"/>
          <w:b w:val="false"/>
          <w:color w:val="000000"/>
          <w:sz w:val="20"/>
        </w:rPr>
        <w:t>improved by 240 basis points, primarily due to a reduction of 130 basis points in SG&amp;A expense as a percentage of net revenues and an increase of 120 basis points in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8650"/>
                <wp:effectExtent l="0" t="0" r="0" b="0"/>
                <wp:wrapNone/>
                <wp:docPr id="43" name="Frame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Europe operating margin </w:t>
      </w:r>
      <w:r>
        <w:rPr>
          <w:rFonts w:ascii="Times New Roman;serif" w:hAnsi="Times New Roman;serif"/>
          <w:b w:val="false"/>
          <w:color w:val="000000"/>
          <w:sz w:val="20"/>
        </w:rPr>
        <w:t>was flat, with an increase of 160 basis points in gross margin offset by an increase in SG&amp;A expenses as a percentage of net revenues, which included higher marketing expenses. This operating margin was inclusive of the favorable impact of 40 basis points related to foreign currency effects.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Asia operating margin</w:t>
      </w:r>
      <w:r>
        <w:rPr>
          <w:color w:val="000000"/>
        </w:rPr>
        <w:t xml:space="preserve"> </w:t>
      </w:r>
      <w:r>
        <w:rPr>
          <w:rFonts w:ascii="Times New Roman;serif" w:hAnsi="Times New Roman;serif"/>
          <w:b w:val="false"/>
          <w:color w:val="000000"/>
          <w:sz w:val="20"/>
        </w:rPr>
        <w:t>improved by 280 basis points, primarily due to a reduction of 240 basis points in SG&amp;A expenses as a percentage of net revenues and an increase of 50 basis points in gross margin. The overall improvement in operating margin was inclusive of the favorable impact of 10 basis points related to foreign currency effects.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Corporate expenses</w:t>
      </w:r>
      <w:r>
        <w:rPr>
          <w:color w:val="000000"/>
        </w:rPr>
        <w:t xml:space="preserve"> </w:t>
      </w:r>
      <w:r>
        <w:rPr>
          <w:rFonts w:ascii="Times New Roman;serif" w:hAnsi="Times New Roman;serif"/>
          <w:b w:val="false"/>
          <w:color w:val="000000"/>
          <w:sz w:val="20"/>
        </w:rPr>
        <w:t>increased by $25.2 million to $190.0 million during the three months ended June 27, 2026 as compared to the prior fiscal year. The increase in corporate expenses was primarily due to higher compensation-related expenses of $25.9 million and staff-related expenses of $2.9 million, partly offset by higher intercompany sourcing commission of $3.6 million (which is offset at the segment level and eliminates in consolidation).</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Non-operating Income (Expense), Net. </w:t>
      </w:r>
      <w:r>
        <w:rPr>
          <w:rFonts w:ascii="Times New Roman;serif" w:hAnsi="Times New Roman;serif"/>
          <w:b w:val="false"/>
          <w:color w:val="000000"/>
          <w:sz w:val="20"/>
        </w:rPr>
        <w:t xml:space="preserve">Non-operating income (expense), net is comprised of interest expense, interest income, and other income (expense), net, which includes foreign currency gains (losses), equity in income (losses) from our equity-method investees, and other non-operating expenses. During the three months ended June 27, 2026, we reported non-operating expense, net of $0.2 million as compared to non-operating income, net of $4.4 million during the three months ended June 28, 2025. </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Income Tax Provision.</w:t>
      </w:r>
      <w:r>
        <w:rPr>
          <w:color w:val="000000"/>
        </w:rPr>
        <w:t>    </w:t>
      </w:r>
      <w:r>
        <w:rPr>
          <w:rFonts w:ascii="Times New Roman;serif" w:hAnsi="Times New Roman;serif"/>
          <w:b w:val="false"/>
          <w:color w:val="000000"/>
          <w:sz w:val="20"/>
        </w:rPr>
        <w:t>The income tax provision represents federal, foreign, state and local income taxes. Our effective tax rate will change from period to period based on various factors including, but not limited to, the geographic mix of earnings, the timing and amount of foreign dividends, enacted tax legislation, state and local taxes, tax audit findings and settlements, and the interaction of various global tax strategies.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income tax provision and effective tax rate for the three months ended June 27, 2026 were $80.0 million and 23.4%, respectively, compared to $57.6 million and 20.7%, respectively, for the three months ended June 28, 2025. The $22.4 million increase in our income tax provision was primarily driven by an increase in our pretax income, as well as the 270 basis point increase in our effective tax rate. The increase in our effective tax rate was due to unfavorable tax impacts of the deduction for foreign-derived eligible income and the unfavorable tax impact of earnings generated in higher taxed jurisdictions, partly offset by the favorable impact of lower income tax reserves associated with certain income tax audits as compared to the prior fiscal year period. See Note 8 to the accompanying consolidated financial statements.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Net Income.</w:t>
      </w:r>
      <w:r>
        <w:rPr>
          <w:color w:val="000000"/>
        </w:rPr>
        <w:t>    </w:t>
      </w:r>
      <w:r>
        <w:rPr>
          <w:rFonts w:ascii="Times New Roman;serif" w:hAnsi="Times New Roman;serif"/>
          <w:b w:val="false"/>
          <w:color w:val="000000"/>
          <w:sz w:val="20"/>
        </w:rPr>
        <w:t>Net income increased to $262.2 million for the three months ended June 27, 2026, from $220.4 million for the three months ended June 28, 2025. The $41.8 million increase in net income was primarily due to the increase in our operating income, partly offset by the increase in our income tax provision, both as previously discussed. Our operating results during the three-month periods ended June 27, 2026 and June 28, 2025 were negatively impacted by net restructuring-related charges and certain other charges (benefits) totaling $23.5 million and $19.3 million, respectively, which had an after-tax effect of reducing net income by $18.8 million and $15.4 million, respectively.</w:t>
      </w:r>
    </w:p>
    <w:p>
      <w:pPr>
        <w:pStyle w:val="TextBody"/>
        <w:bidi w:val="0"/>
        <w:spacing w:lineRule="auto" w:line="288" w:before="240" w:after="240"/>
        <w:ind w:left="0" w:right="0" w:firstLine="540"/>
        <w:jc w:val="both"/>
        <w:rPr/>
      </w:pPr>
      <w:r>
        <w:rPr>
          <w:rFonts w:ascii="Times New Roman;serif" w:hAnsi="Times New Roman;serif"/>
          <w:b w:val="false"/>
          <w:i/>
          <w:color w:val="000000"/>
          <w:sz w:val="20"/>
        </w:rPr>
        <w:t>Net Income per Diluted Share.</w:t>
      </w:r>
      <w:r>
        <w:rPr>
          <w:color w:val="000000"/>
        </w:rPr>
        <w:t>    </w:t>
      </w:r>
      <w:r>
        <w:rPr>
          <w:rFonts w:ascii="Times New Roman;serif" w:hAnsi="Times New Roman;serif"/>
          <w:b w:val="false"/>
          <w:color w:val="000000"/>
          <w:sz w:val="20"/>
        </w:rPr>
        <w:t>Net income per diluted share increased to $4.28 for the three months ended June 27, 2026, from $3.52 for the three months ended June 28, 2025. The $0.76 per share increase was primarily driven by the higher level of net income, as previously discussed, and lower weighted-average diluted shares outstanding during the three months ended June 27, 2026 driven by our share repurchases during the last twelve months. Net income per diluted share for the three-month periods ended June 27, 2026 and June 28, 2025 were also negatively impacted by $0.31 per share and $0.25 per share, respectively, attributable to net restructuring-related charges and certain other charges (benefits), as previously discussed.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8650"/>
                <wp:effectExtent l="0" t="0" r="0" b="0"/>
                <wp:wrapNone/>
                <wp:docPr id="44" name="Frame4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CONDITION AND LIQUIDITY</w:t>
      </w:r>
    </w:p>
    <w:p>
      <w:pPr>
        <w:pStyle w:val="TextBody"/>
        <w:bidi w:val="0"/>
        <w:spacing w:lineRule="auto" w:line="288" w:before="240" w:after="283"/>
        <w:jc w:val="left"/>
        <w:rPr/>
      </w:pPr>
      <w:r>
        <w:rPr>
          <w:rFonts w:ascii="Times New Roman;serif" w:hAnsi="Times New Roman;serif"/>
          <w:b/>
          <w:i/>
          <w:color w:val="000000"/>
          <w:sz w:val="20"/>
        </w:rPr>
        <w:t>Financial Condition</w:t>
      </w:r>
      <w:r>
        <w:rPr>
          <w:color w:val="000000"/>
        </w:rPr>
        <w: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financial condition as of June 27, 2026 and March 28, 2026:</w:t>
      </w:r>
    </w:p>
    <w:tbl>
      <w:tblPr>
        <w:tblW w:w="7494" w:type="dxa"/>
        <w:jc w:val="left"/>
        <w:tblInd w:w="0" w:type="dxa"/>
        <w:tblLayout w:type="fixed"/>
        <w:tblCellMar>
          <w:top w:w="28" w:type="dxa"/>
          <w:left w:w="28" w:type="dxa"/>
          <w:bottom w:w="28" w:type="dxa"/>
          <w:right w:w="28" w:type="dxa"/>
        </w:tblCellMar>
      </w:tblPr>
      <w:tblGrid>
        <w:gridCol w:w="1190"/>
        <w:gridCol w:w="1045"/>
        <w:gridCol w:w="1050"/>
        <w:gridCol w:w="109"/>
        <w:gridCol w:w="109"/>
        <w:gridCol w:w="109"/>
        <w:gridCol w:w="211"/>
        <w:gridCol w:w="766"/>
        <w:gridCol w:w="109"/>
        <w:gridCol w:w="109"/>
        <w:gridCol w:w="109"/>
        <w:gridCol w:w="109"/>
        <w:gridCol w:w="211"/>
        <w:gridCol w:w="766"/>
        <w:gridCol w:w="109"/>
        <w:gridCol w:w="109"/>
        <w:gridCol w:w="109"/>
        <w:gridCol w:w="109"/>
        <w:gridCol w:w="211"/>
        <w:gridCol w:w="691"/>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debt</w:t>
            </w:r>
            <w:r>
              <w:rPr>
                <w:rFonts w:ascii="Times New Roman;serif" w:hAnsi="Times New Roman;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Net cash and short-term investments</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See Note 9 to the accompanying consolidated financial statements for discussion of the carrying amounts of our debt.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our net cash and short-term investments position at June 27, 2026 as compared to March 28, 2026 was primarily due to our use of cash to support Class A common stock repurchases of $325.1 million, including $75.1 million of share withholdings in satisfaction of tax obligations related to the vesting of stock-based compensation awards, to make dividend payments of $54.8 million, to invest in our business through $53.4 million in capital expenditures, and the unfavorable effect of exchange rate changes of $16.5 million, primarily related to our cash and cash equivalents, partly offset by our operating cash flows of $339.3 million.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our equity was attributable to our share repurchase activity and dividends declared during the three months ended June 27, 2026, partly offset by our comprehensive income and the net impact of stock-based compensation arrangements.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our cash flows for the three-month periods ended June 27, 2026 and June 28, 2025:</w:t>
      </w:r>
    </w:p>
    <w:tbl>
      <w:tblPr>
        <w:tblW w:w="10205" w:type="dxa"/>
        <w:jc w:val="left"/>
        <w:tblInd w:w="0" w:type="dxa"/>
        <w:tblLayout w:type="fixed"/>
        <w:tblCellMar>
          <w:top w:w="28" w:type="dxa"/>
          <w:left w:w="28" w:type="dxa"/>
          <w:bottom w:w="28" w:type="dxa"/>
          <w:right w:w="28" w:type="dxa"/>
        </w:tblCellMar>
      </w:tblPr>
      <w:tblGrid>
        <w:gridCol w:w="2256"/>
        <w:gridCol w:w="1982"/>
        <w:gridCol w:w="1986"/>
        <w:gridCol w:w="109"/>
        <w:gridCol w:w="109"/>
        <w:gridCol w:w="109"/>
        <w:gridCol w:w="211"/>
        <w:gridCol w:w="689"/>
        <w:gridCol w:w="109"/>
        <w:gridCol w:w="109"/>
        <w:gridCol w:w="109"/>
        <w:gridCol w:w="109"/>
        <w:gridCol w:w="211"/>
        <w:gridCol w:w="616"/>
        <w:gridCol w:w="109"/>
        <w:gridCol w:w="109"/>
        <w:gridCol w:w="109"/>
        <w:gridCol w:w="109"/>
        <w:gridCol w:w="211"/>
        <w:gridCol w:w="689"/>
        <w:gridCol w:w="155"/>
      </w:tblGrid>
      <w:tr>
        <w:trPr/>
        <w:tc>
          <w:tcPr>
            <w:tcW w:w="2256"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i/>
          <w:color w:val="000000"/>
          <w:sz w:val="20"/>
        </w:rPr>
        <w:t>Net Cash Provided by Operating Activities.</w:t>
      </w:r>
      <w:r>
        <w:rPr>
          <w:color w:val="000000"/>
        </w:rPr>
        <w:t>    </w:t>
      </w:r>
      <w:r>
        <w:rPr>
          <w:rFonts w:ascii="Times New Roman;serif" w:hAnsi="Times New Roman;serif"/>
          <w:b w:val="false"/>
          <w:color w:val="000000"/>
          <w:sz w:val="20"/>
        </w:rPr>
        <w:t>Net cash provided by operating activities was $339.3 million during the three months ended June 27, 2026, as compared to $176.1 million during the three months ended June 28, 2025. The $163.2 million net increase in cash provided by operating activities was due to a net favorable change related to our operating assets and liabilities, including our working capital, as compared to the prior fiscal year period, as well as an increase in net income before non-cash charges.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net favorable change related to our operating assets and liabilities, including our working capital, was primarily driven by a year-over-year decrease in our inventory levels, with prior year's inventory balance elevated due to the tariff impacts in North America and earlier timing of deliveries in Europe.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8650"/>
                <wp:effectExtent l="0" t="0" r="0" b="0"/>
                <wp:wrapNone/>
                <wp:docPr id="45" name="Frame4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Net Cash Used in Investing Activities.    </w:t>
      </w:r>
      <w:r>
        <w:rPr>
          <w:rFonts w:ascii="Times New Roman;serif" w:hAnsi="Times New Roman;serif"/>
          <w:b w:val="false"/>
          <w:color w:val="000000"/>
          <w:sz w:val="20"/>
        </w:rPr>
        <w:t>Net cash used in investing activities was $204.1 million during the three months ended June 27, 2026, as compared to $198.3 million during the three months ended June 28, 2025. The $5.8 million net increase in cash used in investing activities was primarily driven by: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 $130.5 million increase in purchases of investments, less proceeds from sales and maturities of investments. During the three months ended June 27, 2026, we made net investment purchases of $147.5 million, as compared to $17.0 million during the three months ended June 28,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increase in cash used in investing activities was offset by: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 $133.9 million decrease in capital expenditures. During the three months ended June 27, 2026, we spent $53.4 million on capital expenditures, as compared to $187.3 million during the three months ended June 28, 2025. Our capital expenditures during the three months ended June 27, 2026 primarily related to store openings and renovations, corporate office renovations, and enhancements to our information technology systems.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Net Cash (Used in) Provided by Financing Activities.</w:t>
      </w:r>
      <w:r>
        <w:rPr>
          <w:color w:val="000000"/>
        </w:rPr>
        <w:t>    </w:t>
      </w:r>
      <w:r>
        <w:rPr>
          <w:rFonts w:ascii="Times New Roman;serif" w:hAnsi="Times New Roman;serif"/>
          <w:b w:val="false"/>
          <w:color w:val="000000"/>
          <w:sz w:val="20"/>
        </w:rPr>
        <w:t>Net cash used in financing activities was $387.0 million during the three months ended June 27, 2026, as compared to net cash provided by financing activities of $114.1 million during the three months ended June 28, 2025. The $501.1 million net increase in cash used in financing activities was primarily driven by: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a $498.2 million decrease in cash proceeds from the issuance of long-term debt. During the three months ended June 27, 2026, we did not issue or repay any debt. On a comparative basis, during the three months ended June 28, 2025, we received $498.2 million in proceeds from our issuance of the 5.000% Senior Notes (as defined below).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are the cash flows generated from our operations, our available cash and cash equivalents and short-term investments, availability under our credit facilities and commercial paper program, and other available financing options. We also maintain access to the capital markets and may issue debt securities from time to time, which may provide an additional source of liquidity and/or funds to refinance existing debt.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we generated $339.3 million of net cash flows from our operations. As of June 27, 2026, we had $1.942 billion in cash, cash equivalents, and short-term investments, of which $1.593 billion were held by our subsidiaries domiciled outside the U.S. We are not dependent on foreign cash to fund our domestic operations. Undistributed foreign earnings generated on or before December 31, 2017 that were subject to the one-time mandatory transition tax in connection with U.S. tax legislation commonly referred to as the Tax Cuts and Jobs Act are not considered to be permanently reinvested and may be repatriated to the U.S. in the future with minimal or no additional U.S. taxation. We intend to permanently reinvest undistributed foreign earnings generated after December 31, 2017 that were not subject to the one-time mandatory transition tax. However, if our plans change and we choose to repatriate post-2017 earnings to the U.S. in the future, we would be subject to applicable U.S. and foreign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availability, utilization, and remaining availability under our credit facilities and Commercial Paper Program as of June 27, 2026:</w:t>
      </w:r>
    </w:p>
    <w:tbl>
      <w:tblPr>
        <w:tblW w:w="8364" w:type="dxa"/>
        <w:jc w:val="left"/>
        <w:tblInd w:w="0" w:type="dxa"/>
        <w:tblLayout w:type="fixed"/>
        <w:tblCellMar>
          <w:top w:w="28" w:type="dxa"/>
          <w:left w:w="28" w:type="dxa"/>
          <w:bottom w:w="28" w:type="dxa"/>
          <w:right w:w="28" w:type="dxa"/>
        </w:tblCellMar>
      </w:tblPr>
      <w:tblGrid>
        <w:gridCol w:w="1684"/>
        <w:gridCol w:w="1486"/>
        <w:gridCol w:w="1495"/>
        <w:gridCol w:w="109"/>
        <w:gridCol w:w="109"/>
        <w:gridCol w:w="109"/>
        <w:gridCol w:w="257"/>
        <w:gridCol w:w="569"/>
        <w:gridCol w:w="135"/>
        <w:gridCol w:w="109"/>
        <w:gridCol w:w="109"/>
        <w:gridCol w:w="109"/>
        <w:gridCol w:w="275"/>
        <w:gridCol w:w="333"/>
        <w:gridCol w:w="143"/>
        <w:gridCol w:w="109"/>
        <w:gridCol w:w="109"/>
        <w:gridCol w:w="109"/>
        <w:gridCol w:w="255"/>
        <w:gridCol w:w="564"/>
        <w:gridCol w:w="187"/>
      </w:tblGrid>
      <w:tr>
        <w:trPr/>
        <w:tc>
          <w:tcPr>
            <w:tcW w:w="168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u w:val="single"/>
              </w:rPr>
              <w:t>Description</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Availability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br/>
              <w:t>Utilized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Availability</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Global Credit Facility and Commercial Paper Program</w:t>
            </w:r>
            <w:r>
              <w:rPr>
                <w:rFonts w:ascii="Times New Roman;serif" w:hAnsi="Times New Roman;serif"/>
                <w:b/>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3"/>
              </w:rPr>
            </w:pPr>
            <w:r>
              <w:rPr>
                <w:rFonts w:ascii="Times New Roman;serif" w:hAnsi="Times New Roman;serif"/>
                <w:b/>
                <w:color w:val="000000"/>
                <w:sz w:val="13"/>
              </w:rPr>
              <w:t>(c)</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Pan-Asia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3"/>
              </w:rPr>
            </w:pPr>
            <w:r>
              <w:rPr>
                <w:rFonts w:ascii="Times New Roman;serif" w:hAnsi="Times New Roman;serif"/>
                <w:b/>
                <w:color w:val="000000"/>
                <w:sz w:val="13"/>
              </w:rPr>
              <w:t>(c)</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As defined in Note 9 to the accompanying consolidated financial statements.</w:t>
      </w:r>
    </w:p>
    <w:p>
      <w:pPr>
        <w:pStyle w:val="TextBody"/>
        <w:bidi w:val="0"/>
        <w:spacing w:lineRule="auto" w:line="288" w:before="60" w:after="283"/>
        <w:ind w:left="0" w:right="0" w:hanging="360"/>
        <w:jc w:val="both"/>
        <w:rPr/>
      </w:pPr>
      <w:r>
        <w:rPr>
          <w:rFonts w:ascii="Times New Roman;serif" w:hAnsi="Times New Roman;serif"/>
          <w:b/>
          <w:color w:val="000000"/>
          <w:sz w:val="13"/>
        </w:rPr>
        <w:t>(b)</w:t>
      </w:r>
      <w:r>
        <w:rPr>
          <w:rFonts w:ascii="Times New Roman;serif" w:hAnsi="Times New Roman;serif"/>
          <w:b w:val="false"/>
          <w:color w:val="000000"/>
          <w:sz w:val="20"/>
        </w:rPr>
        <w:t>Borrowings under the Commercial Paper Program are supported by the Global Credit Facility. Combined borrowings under the Commercial Paper Program and the Global Credit Facility are limited to $750 million.</w:t>
      </w:r>
    </w:p>
    <w:p>
      <w:pPr>
        <w:pStyle w:val="TextBody"/>
        <w:bidi w:val="0"/>
        <w:spacing w:lineRule="auto" w:line="288" w:before="60" w:after="283"/>
        <w:ind w:left="0" w:right="0" w:hanging="360"/>
        <w:jc w:val="both"/>
        <w:rPr/>
      </w:pPr>
      <w:r>
        <w:rPr>
          <w:rFonts w:ascii="Times New Roman;serif" w:hAnsi="Times New Roman;serif"/>
          <w:b/>
          <w:color w:val="000000"/>
          <w:sz w:val="13"/>
        </w:rPr>
        <w:t>(c)</w:t>
      </w:r>
      <w:r>
        <w:rPr>
          <w:rFonts w:ascii="Times New Roman;serif" w:hAnsi="Times New Roman;serif"/>
          <w:b w:val="false"/>
          <w:color w:val="000000"/>
          <w:sz w:val="20"/>
        </w:rPr>
        <w:t>Represents letters of credit and bank guarantees under the Global Credit Facility and Pan-Asia Credit Facilities, respectively, for which we were contingently liable as of June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28650"/>
                <wp:effectExtent l="0" t="0" r="0" b="0"/>
                <wp:wrapNone/>
                <wp:docPr id="46" name="Frame4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the Global Credit Facility is adequately diversified with no undue concentration in any one financial institution. In particular, as of June 27, 2026, there were six financial institutions participating in the Global Credit Facility, with no one participant maintaining a maximum commitment percentage in excess of 25%. In accordance with the terms of the agreement, we have the ability to expand our borrowing availability under the Global Credit Facility to $1.500 billion through the full term of the facility, subject to the agreement of one or more new or existing lenders under the facility to increase their commitments.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Borrowings under the Pan-Asia Credit Facilities are guaranteed by the parent company and are granted at the sole discretion of the participating banks (as described within Note 9 to the accompanying consolidated financial statements), subject to availability of the respective banks' funds and satisfaction of certain regulatory requirements. We have no reason to believe that the participating institutions will be unable to fulfill their obligations to provide financing in accordance with the terms of the Global Credit Facility and the Pan-Asia Credit Facilities in the event of our election to draw additional funds in the foreseeable future.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sources of liquidity are used to fund our ongoing cash requirements, including working capital requirements, global retail store and digital commerce expansion, construction and renovation of shop-within-shops, investment in infrastructure, including technology, dividend payments, debt repayments, Class A common stock repurchases, settlement of contingent liabilities (including uncertain tax positions), and other corporate activities, including our restructuring actions. We believe that our existing sources of cash, the availability under our credit facilities, and our ability to access capital markets will be sufficient to support our operating, capital, and debt service requirements for the foreseeable future, the ongoing development of our businesses, and our plans for further business expansion. However, prolonged periods of adverse economic conditions or business disruptions in any of our key regions, or a combination thereof, such as those resulting from pandemic diseases and other catastrophic events, could impede our ability to pay our obligations as they become due or return value to our shareholders, as well as delay previously planned expenditures related to our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9 to the accompanying consolidated financial statements and Note 10 of the Fiscal 2026 10-K for additional information relating to our credit facilities.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Supplier Finance Program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support a voluntary supplier finance program which provides certain of our inventory suppliers the opportunity, at their sole discretion, to sell their receivables due from us (which generally have 90-day payment terms) to a participating financial institution for a discounted payment amount made earlier than the payment terms stipulated between us and the supplier. Our vendor payment terms and amounts due are not impacted by a supplier's decision to participate in the program. We have not pledged any assets and do not provide guarantees under the supplier finance program. Our payment obligations outstanding under our supplier finance program were $268.4 million and $172.1 million as of June 27, 2026 and March 28, 2026, respectively, and were recorded within accounts payable in the consolidated balance sheets.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Debt and Covenant Compliance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2020, we completed a registered public debt offering and issued a $500 million aggregate principal amount of unsecured senior notes that were due and repaid on June 15, 2022 with cash on hand, which bore interest at a fixed rate of 1.700%, payable semi-annually, and a $750 million aggregate principal amount of unsecured senior notes due June 15, 2030, which bear interest at a fixed rate of 2.950%, payable semi-annually (the "2.950% Senior Notes"). In June 2025, we completed another registered public debt offering and issued a $500 million aggregate principal amount of unsecured senior notes due June 15, 2032, which bear interest at a fixed rate of 5.000%, payable semi-annually (the "5.000% Senior Notes").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and supplemental indentures governing the 2.950% Senior Notes and 5.000% Senior Notes (as supplemented, the "Indenture") contain certain covenants that restrict our ability, subject to specified exceptions, to incur certain liens; enter into sale and leaseback transactions; consolidate or merge with another party; or sell, lease, or convey all or substantially all of our property or assets to another party. However, the Indenture does not contain any financial covenants.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credit facility that provides for a $750 million senior unsecured revolving line of credit through June 30, 2028, which is available for working capital needs, capital expenditures, certain investments, general corporate purposes, and for funding acquisitions, as well as used to support the issuance of letters of credit and the maintenance of the Commercial Paper Program (the "Global Credit Facility"). Borrowings under the Global Credit Facility may be denominated in U.S. Dollars and certain other currencies, including Euros, Hong Kong Dollars, and Japanese Yen. We have the ability to expand the borrowing availability under the Global Credit Facility to $1.500 billion, subject to the agreement of one or more new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28650"/>
                <wp:effectExtent l="0" t="0" r="0" b="0"/>
                <wp:wrapNone/>
                <wp:docPr id="47" name="Frame4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existing lenders under the facility to increase their commitments. There are no mandatory reductions in borrowing ability throughout the term of the Global Credit Facility.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Global Credit Facility contains a number of covenants, as described in Note 9 to the accompanying consolidated financial statements. As of June 27, 2026, no Event of Default (as such term is defined pursuant to the Global Credit Facility) has occurred under our Global Credit Facility. The Pan-Asia Credit Facilities do not contain any financial covenants.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9 to the accompanying consolidated financial statements and Note 10 of the Fiscal 2026 10-K for additional information relating to our debt and covenant compliance.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Common Stock Repurchase Program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15, 2025, our Board of Directors approved an expansion of our existing common stock repurchase program that allows us to repurchase up to an additional $1.500 billion of our Class A common stock, excluding related excise taxes. As of June 27, 2026, the remaining availability under our common stock repurchase program was approximately $1.102 billion. Repurchases of shares of our Class A common stock are subject to overall business and market conditions.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13 to the accompanying consolidated financial statements for additional information relating to our Class A common stock repurchase program.</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generally maintained a regular quarterly cash dividend program on our common stock since 2003.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May 14, 2026, our Board of Directors approved an increase to our quarterly cash dividend on our common stock from $0.9125 to $1.00 per share.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intend to continue to pay regular dividends on outstanding shares of our common stock. However, any decision to declare and pay dividends in the future will ultimately be made at the discretion of our Board of Directors and will depend on our results of operations, cash requirements, financial condition, and other factors that the Board of Directors may deem relevant, including economic and market conditions.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13 to the accompanying consolidated financial statements for additional information relating to our quarterly cash dividend program.</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There have been no substantial changes to our material cash requirements as disclosed in our Fiscal 2026 10-K, other than those which occur in the ordinary course of business. Refer to the</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Financial Condition and Liquidity — Material Cash Requirements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section of the MD&amp;A in our Fiscal 2026 10-K for detailed disclosure of our material cash requirements as of March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 RISK MANAGEMENT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discussed in Note 12 of the Fiscal 2026 10-K and Note 11 to the accompanying consolidated financial statements, we are exposed to a variety of levels and types of risks, including the impact of changes in currency exchange rates on foreign currency-denominated balances, certain anticipated cash flows of our international operations, and the value of reported net assets of our foreign operations, as well as changes in the fair value of our fixed-rate debt obligations relating to fluctuations in benchmark interest rates. Accordingly, in the normal course of business we assess such risks and, in accordance with our established policies and procedures, may use derivative financial instruments to manage and mitigate them. We do not use derivatives for speculative or trading purposes.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Given our use of derivative instruments, we are exposed to the risk that the counterparties to such contracts will fail to meet their contractual obligations. To mitigate such counterparty credit risk, it is our policy to only enter into contracts with carefully selected financial institutions based upon an evaluation of their credit ratings and certain other factors, adhering to established limits for credit exposure. Our established policies and procedures for mitigating credit risk include ongoing review and assessment of the creditworthiness of our counterparties. We also enter into master netting arrangements with counterparties, when possible, to further mitigate credit risk. As a result of the above considerations, we do not believe that we are exposed to undue concentration of counterparty risk with respect to our derivative contracts as of June 27, 2026.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8650"/>
                <wp:effectExtent l="0" t="0" r="0" b="0"/>
                <wp:wrapNone/>
                <wp:docPr id="48" name="Frame4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do have in aggregate $13.8 million of derivative instruments in net asset positions held across three creditworthy financial institutions as of June 27,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Currency Risk Management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manage our exposure to changes in foreign currency exchange rates using forward foreign currency exchange and cross-currency swap contracts. Refer to Note 11 to the accompanying consolidated financial statements for a summary of the notional amounts and fair values of our outstanding forward foreign currency exchange and cross-currency swap contracts, as well as the impact on earnings and other comprehensive income of such instruments as of June 27,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Forward Foreign Currency Exchange Contracts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forward foreign currency exchange contracts to mitigate risk related to exchange rate fluctuations on inventory transactions made in an entity's non-functional currency, the settlement of foreign currency-denominated balances, and the translation of certain foreign operations' net assets into U.S. Dollars. As part of our overall strategy for managing the level of exposure to such exchange rate risk, relating primarily to the Euro, the Japanese Yen, the Chinese Renminbi, the South Korean Won, the Australian Dollar, the British Pound Sterling, the Swiss Franc, and the Canadian Dollar, we generally hedge a portion of our related exposures anticipated over the next year using forward foreign currency exchange contracts with maturities of two months to one year to provide continuing coverage over the period of the respective exposure.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foreign exchange risk management activities are governed by established policies and procedures. These policies and procedures provide a framework that allows for the management of currency exposures while ensuring the activities are conducted within our established guidelines. Our policies include guidelines for the organizational structure of our risk management function and for internal controls over foreign exchange risk management activities, including, but not limited to, authorization levels, transaction limits, and credit quality controls, as well as various measurements for monitoring compliance. We monitor foreign exchange risk using different techniques, including periodic review of market values and performance of sensitivity analyses.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Cross-Currency Swap Contracts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periodically designate pay-fixed rate, receive-fixed rate cross-currency swap contracts as hedges of our net investment in certain European subsidiaries. These contracts swap U.S. Dollar-denominated fixed interest rate payments based on the contract's notional amount and the fixed rate of interest payable on certain of our senior notes for Euro-denominated fixed interest rate payments, thereby economically converting a portion of our fixed-rate U.S. Dollar-denominated senior note obligations to fixed rate Euro-denominated obligations.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3 to the accompanying consolidated financial statements for further discussion of our foreign currency exposures and the types of derivative instruments used to hedge those exposures.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 Risk Management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27, 2026, we had cash and cash equivalents on-hand of $1.719 billion, consisting of deposits in interest bearing accounts, investments in money market deposit accounts, and investments in time deposits with original maturities of 90 days or less. Our other significant investments included $222.6 million of short-term investments, consisting of investments in time deposits with original maturities greater than 90 days.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actively monitor our exposure to changes in the fair value of our global investment portfolio in accordance with our established policies and procedures, which include monitoring both general and issuer-specific economic conditions, as discussed in Note 3 to the accompanying consolidated financial statements. Our investment objectives include capital preservation, maintaining adequate liquidity, diversification to minimize liquidity and credit risk, and achievement of maximum returns within the guidelines set forth in our investment policy. See Note 11 to the accompanying consolidated financial statements for further detail of the composition of our investment portfolio as of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8650"/>
                <wp:effectExtent l="0" t="0" r="0" b="0"/>
                <wp:wrapNone/>
                <wp:docPr id="49" name="Frame4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Our significant accounting policies are described in Note 3 of the Fiscal 2026 10-K. Our estimates are often based on complex judgments, assessments of probability, and assumptions that management believes to be reasonable, but that are inherently uncertain and unpredictable. It is also possible that other professionals, applying reasonable judgment to the same set of facts and circumstances, could develop and support a range of alternative estimated amounts. For a complete discussion of our critical accounting policies, refer to the "</w:t>
      </w:r>
      <w:r>
        <w:rPr>
          <w:rFonts w:ascii="Times New Roman;serif" w:hAnsi="Times New Roman;serif"/>
          <w:b w:val="false"/>
          <w:i/>
          <w:color w:val="000000"/>
          <w:sz w:val="20"/>
        </w:rPr>
        <w:t>Critical Accounting Policies</w:t>
      </w:r>
      <w:r>
        <w:rPr>
          <w:rFonts w:ascii="Times New Roman;serif" w:hAnsi="Times New Roman;serif"/>
          <w:b w:val="false"/>
          <w:color w:val="000000"/>
          <w:sz w:val="20"/>
        </w:rPr>
        <w:t>" section of the MD&amp;A in our Fiscal 2026 10-K.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the application of our critical accounting policies since March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4 to the accompanying consolidated financial statements for a description of certain recently issued accounting standards which have impacted our consolidated financial statements, or may impact our consolidated financial statements in future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3.</w:t>
      </w:r>
      <w:r>
        <w:rPr>
          <w:color w:val="000000"/>
        </w:rPr>
        <w:t>    </w:t>
      </w:r>
      <w:r>
        <w:rPr>
          <w:rFonts w:ascii="Times New Roman;serif" w:hAnsi="Times New Roman;serif"/>
          <w:b/>
          <w:i/>
          <w:color w:val="000000"/>
          <w:sz w:val="20"/>
        </w:rPr>
        <w:t>Quantitative and Qualitative Disclosures about Market Risk.</w:t>
      </w:r>
    </w:p>
    <w:p>
      <w:pPr>
        <w:pStyle w:val="TextBody"/>
        <w:bidi w:val="0"/>
        <w:spacing w:lineRule="auto" w:line="288" w:before="240" w:after="240"/>
        <w:ind w:left="0" w:right="0" w:firstLine="540"/>
        <w:jc w:val="both"/>
        <w:rPr/>
      </w:pPr>
      <w:r>
        <w:rPr>
          <w:rFonts w:ascii="Times New Roman;serif" w:hAnsi="Times New Roman;serif"/>
          <w:b w:val="false"/>
          <w:color w:val="000000"/>
          <w:sz w:val="20"/>
        </w:rPr>
        <w:t>For a discussion of the Company's exposure to market risk, see "</w:t>
      </w:r>
      <w:r>
        <w:rPr>
          <w:rFonts w:ascii="Times New Roman;serif" w:hAnsi="Times New Roman;serif"/>
          <w:b w:val="false"/>
          <w:i/>
          <w:color w:val="000000"/>
          <w:sz w:val="20"/>
        </w:rPr>
        <w:t>Market Risk Management</w:t>
      </w:r>
      <w:r>
        <w:rPr>
          <w:rFonts w:ascii="Times New Roman;serif" w:hAnsi="Times New Roman;serif"/>
          <w:b w:val="false"/>
          <w:color w:val="000000"/>
          <w:sz w:val="20"/>
        </w:rPr>
        <w:t>" presented in Part I, Item 2 — MD&amp;A of this Form 10-Q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provide reasonable assurance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management, including our principal executive and principal financial officers, or persons performing similar functions, as appropriate to allow timely decisions regarding required disclosures.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We have evaluated the effectiveness of the design and operation of the Company's disclosure controls and procedures pursuant to Rules 13a-15(e) and 15d-15(e) of the Securities Exchange Act of 1934 under the supervision and with the participation of management, including our principal executive and principal financial officers, based on criteria established in the </w:t>
      </w:r>
      <w:r>
        <w:rPr>
          <w:rFonts w:ascii="Times New Roman;serif" w:hAnsi="Times New Roman;serif"/>
          <w:b w:val="false"/>
          <w:i/>
          <w:color w:val="000000"/>
          <w:sz w:val="20"/>
        </w:rPr>
        <w:t xml:space="preserve">Internal Control </w:t>
      </w:r>
      <w:r>
        <w:rPr>
          <w:color w:val="000000"/>
        </w:rPr>
        <w:t xml:space="preserve">— </w:t>
      </w:r>
      <w:r>
        <w:rPr>
          <w:rFonts w:ascii="Times New Roman;serif" w:hAnsi="Times New Roman;serif"/>
          <w:b w:val="false"/>
          <w:i/>
          <w:color w:val="000000"/>
          <w:sz w:val="20"/>
        </w:rPr>
        <w:t>Integrated Framework</w:t>
      </w:r>
      <w:r>
        <w:rPr>
          <w:color w:val="000000"/>
        </w:rPr>
        <w:t xml:space="preserve"> </w:t>
      </w:r>
      <w:r>
        <w:rPr>
          <w:rFonts w:ascii="Times New Roman;serif" w:hAnsi="Times New Roman;serif"/>
          <w:b w:val="false"/>
          <w:color w:val="000000"/>
          <w:sz w:val="20"/>
        </w:rPr>
        <w:t xml:space="preserve">(2013) issued by the Committee of Sponsoring Organizations of the Treadway Commission (COSO). Based on that evaluation, our principal executive and principal financial officers have concluded that the Company's disclosure controls and procedures were effective at the reasonable assurance level as of June 27, 2026.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fiscal quarter ended June 27, 2026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8650"/>
                <wp:effectExtent l="0" t="0" r="0" b="0"/>
                <wp:wrapNone/>
                <wp:docPr id="50" name="Frame5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240" w:after="240"/>
        <w:ind w:left="0" w:right="0" w:firstLine="540"/>
        <w:jc w:val="both"/>
        <w:rPr/>
      </w:pPr>
      <w:r>
        <w:rPr>
          <w:rFonts w:ascii="Times New Roman;serif" w:hAnsi="Times New Roman;serif"/>
          <w:b w:val="false"/>
          <w:color w:val="000000"/>
          <w:sz w:val="20"/>
        </w:rPr>
        <w:t>Reference is made to the information disclosed under Item 3 — "</w:t>
      </w:r>
      <w:r>
        <w:rPr>
          <w:rFonts w:ascii="Times New Roman;serif" w:hAnsi="Times New Roman;serif"/>
          <w:b w:val="false"/>
          <w:i/>
          <w:color w:val="000000"/>
          <w:sz w:val="20"/>
        </w:rPr>
        <w:t>Legal Proceedings</w:t>
      </w:r>
      <w:r>
        <w:rPr>
          <w:rFonts w:ascii="Times New Roman;serif" w:hAnsi="Times New Roman;serif"/>
          <w:b w:val="false"/>
          <w:color w:val="000000"/>
          <w:sz w:val="20"/>
        </w:rPr>
        <w:t>" in the Fiscal 2026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Risk Factors.</w:t>
      </w:r>
    </w:p>
    <w:p>
      <w:pPr>
        <w:pStyle w:val="TextBody"/>
        <w:bidi w:val="0"/>
        <w:spacing w:lineRule="auto" w:line="288" w:before="240" w:after="240"/>
        <w:ind w:left="0" w:right="0" w:firstLine="540"/>
        <w:jc w:val="both"/>
        <w:rPr/>
      </w:pPr>
      <w:r>
        <w:rPr>
          <w:rFonts w:ascii="Times New Roman;serif" w:hAnsi="Times New Roman;serif"/>
          <w:b w:val="false"/>
          <w:color w:val="000000"/>
          <w:sz w:val="20"/>
        </w:rPr>
        <w:t>Reference is made to the information disclosed under Part I, Item 1A — "</w:t>
      </w:r>
      <w:r>
        <w:rPr>
          <w:rFonts w:ascii="Times New Roman;serif" w:hAnsi="Times New Roman;serif"/>
          <w:b w:val="false"/>
          <w:i/>
          <w:color w:val="000000"/>
          <w:sz w:val="20"/>
        </w:rPr>
        <w:t>Risk Factors</w:t>
      </w:r>
      <w:r>
        <w:rPr>
          <w:rFonts w:ascii="Times New Roman;serif" w:hAnsi="Times New Roman;serif"/>
          <w:b w:val="false"/>
          <w:color w:val="000000"/>
          <w:sz w:val="20"/>
        </w:rPr>
        <w:t>" in the Fiscal 2026 10-K, which contains a detailed discussion of certain risk factors that could materially adversely affect the Company's business, operating results, and/or financial condition. There are no material changes to the risk factors previously disclosed, nor has the Company identified any previously undisclosed risks that could materially adversely affect the Company's business, operating results, and/or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Unregistered Sales of Equity Securities and Use of Proceeds.</w:t>
      </w: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(a)Sales of Unregistered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Shares of the Company's Class B Common Stock may be converted immediately into Class A Common Stock on a one-for-one basis by the holder. There is no cash or other consideration paid by the holder converting the shares and, accordingly, there is no cash or other consideration received by the Company. The shares of Class A Common Stock issued by the Company in such conversions are exempt from registration pursuant to Section 3(a)(9) of the Securities Act of 1933, as amended.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shares of the Company's Class B common stock were converted into Class A common stock during the three months ended June 27, 2026.</w:t>
      </w: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(b)     Not Applicable</w:t>
      </w: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(c)Stock Repurchases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repurchases of shares of the Company's Class A common stock during the three months ended June 27, 2026:</w:t>
      </w:r>
    </w:p>
    <w:tbl>
      <w:tblPr>
        <w:tblW w:w="10205" w:type="dxa"/>
        <w:jc w:val="left"/>
        <w:tblInd w:w="0" w:type="dxa"/>
        <w:tblLayout w:type="fixed"/>
        <w:tblCellMar>
          <w:top w:w="28" w:type="dxa"/>
          <w:left w:w="28" w:type="dxa"/>
          <w:bottom w:w="28" w:type="dxa"/>
          <w:right w:w="28" w:type="dxa"/>
        </w:tblCellMar>
      </w:tblPr>
      <w:tblGrid>
        <w:gridCol w:w="539"/>
        <w:gridCol w:w="472"/>
        <w:gridCol w:w="477"/>
        <w:gridCol w:w="664"/>
        <w:gridCol w:w="518"/>
        <w:gridCol w:w="520"/>
        <w:gridCol w:w="109"/>
        <w:gridCol w:w="109"/>
        <w:gridCol w:w="109"/>
        <w:gridCol w:w="211"/>
        <w:gridCol w:w="721"/>
        <w:gridCol w:w="109"/>
        <w:gridCol w:w="109"/>
        <w:gridCol w:w="109"/>
        <w:gridCol w:w="109"/>
        <w:gridCol w:w="1102"/>
        <w:gridCol w:w="1102"/>
        <w:gridCol w:w="1104"/>
        <w:gridCol w:w="109"/>
        <w:gridCol w:w="109"/>
        <w:gridCol w:w="109"/>
        <w:gridCol w:w="361"/>
        <w:gridCol w:w="1056"/>
        <w:gridCol w:w="268"/>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br/>
              <w:t>Paid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 Dollar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That May Yet be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Purchased Under the </w:t>
            </w:r>
          </w:p>
          <w:p>
            <w:pPr>
              <w:pStyle w:val="TableContents"/>
              <w:bidi w:val="0"/>
              <w:spacing w:lineRule="auto" w:line="240" w:before="0" w:after="0"/>
              <w:jc w:val="center"/>
              <w:rPr/>
            </w:pPr>
            <w:r>
              <w:rPr>
                <w:rFonts w:ascii="Times New Roman;serif" w:hAnsi="Times New Roman;serif"/>
                <w:b/>
                <w:color w:val="000000"/>
                <w:sz w:val="16"/>
              </w:rPr>
              <w:t>Plans or Programs</w:t>
            </w:r>
            <w:r>
              <w:rPr>
                <w:rFonts w:ascii="Times New Roman;serif" w:hAnsi="Times New Roman;serif"/>
                <w:b/>
                <w:color w:val="000000"/>
                <w:sz w:val="10"/>
              </w:rPr>
              <w:t>(a)</w:t>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29, 2026 to April 25, 2026</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584,310 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584,310 </w:t>
            </w:r>
          </w:p>
        </w:tc>
        <w:tc>
          <w:tcPr>
            <w:tcW w:w="11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26, 2026 to May 23, 2026</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0"/>
              </w:rPr>
            </w:pPr>
            <w:r>
              <w:rPr>
                <w:rFonts w:ascii="Times New Roman;serif" w:hAnsi="Times New Roman;serif"/>
                <w:b/>
                <w:color w:val="000000"/>
                <w:sz w:val="10"/>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24, 2026 to June 27, 2026</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342,999 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0"/>
              </w:rPr>
            </w:pPr>
            <w:r>
              <w:rPr>
                <w:rFonts w:ascii="Times New Roman;serif" w:hAnsi="Times New Roman;serif"/>
                <w:b/>
                <w:color w:val="000000"/>
                <w:sz w:val="10"/>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138,005 </w:t>
            </w:r>
          </w:p>
        </w:tc>
        <w:tc>
          <w:tcPr>
            <w:tcW w:w="11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927,311 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722,315 </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color w:val="000000"/>
          <w:sz w:val="13"/>
        </w:rPr>
        <w:t>(a)</w:t>
      </w:r>
      <w:r>
        <w:rPr>
          <w:rFonts w:ascii="Times New Roman;serif" w:hAnsi="Times New Roman;serif"/>
          <w:b w:val="false"/>
          <w:color w:val="000000"/>
          <w:sz w:val="20"/>
        </w:rPr>
        <w:t>On May 15, 2025 the Company's Board of Directors approved an expansion of the common stock repurchase program that allows the Company to repurchase up to an additional $1.500 billion of Class A common stock. Repurchases of shares of the Company's Class A common stock are subject to overall business and market conditions.</w:t>
      </w:r>
    </w:p>
    <w:p>
      <w:pPr>
        <w:pStyle w:val="TextBody"/>
        <w:bidi w:val="0"/>
        <w:spacing w:lineRule="auto" w:line="288" w:before="60" w:after="283"/>
        <w:ind w:left="0" w:right="0" w:hanging="360"/>
        <w:jc w:val="both"/>
        <w:rPr/>
      </w:pPr>
      <w:r>
        <w:rPr>
          <w:rFonts w:ascii="Times New Roman;serif" w:hAnsi="Times New Roman;serif"/>
          <w:b/>
          <w:color w:val="000000"/>
          <w:sz w:val="13"/>
        </w:rPr>
        <w:t>(b)</w:t>
      </w:r>
      <w:r>
        <w:rPr>
          <w:rFonts w:ascii="Times New Roman;serif" w:hAnsi="Times New Roman;serif"/>
          <w:b w:val="false"/>
          <w:color w:val="000000"/>
          <w:sz w:val="20"/>
        </w:rPr>
        <w:t>Represents shares surrendered to or withheld by the Company in satisfaction of withholding taxes in connection with the vesting of awards issued under its long-term stock incentive plans.</w:t>
      </w:r>
    </w:p>
    <w:p>
      <w:pPr>
        <w:pStyle w:val="TextBody"/>
        <w:bidi w:val="0"/>
        <w:spacing w:lineRule="auto" w:line="288" w:before="60" w:after="283"/>
        <w:ind w:left="0" w:right="0" w:hanging="360"/>
        <w:jc w:val="both"/>
        <w:rPr/>
      </w:pPr>
      <w:r>
        <w:rPr>
          <w:rFonts w:ascii="Times New Roman;serif" w:hAnsi="Times New Roman;serif"/>
          <w:b/>
          <w:color w:val="000000"/>
          <w:sz w:val="13"/>
        </w:rPr>
        <w:t>(c)</w:t>
      </w:r>
      <w:r>
        <w:rPr>
          <w:rFonts w:ascii="Times New Roman;serif" w:hAnsi="Times New Roman;serif"/>
          <w:b w:val="false"/>
          <w:color w:val="000000"/>
          <w:sz w:val="20"/>
        </w:rPr>
        <w:t>Includes 204,994 shares surrendered to or withheld by the Company in satisfaction of withholding taxes in connection with the vesting of awards issued under its long-term stock incentive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pPr>
      <w:r>
        <w:rPr>
          <w:rFonts w:ascii="Times New Roman;serif" w:hAnsi="Times New Roman;serif"/>
          <w:b/>
          <w:color w:val="000000"/>
          <w:sz w:val="20"/>
        </w:rPr>
        <w:t>Item 5.</w:t>
      </w:r>
      <w:r>
        <w:rPr>
          <w:color w:val="000000"/>
        </w:rPr>
        <w:t>    </w:t>
      </w:r>
      <w:r>
        <w:rPr>
          <w:rFonts w:ascii="Times New Roman;serif" w:hAnsi="Times New Roman;serif"/>
          <w:b/>
          <w:i/>
          <w:color w:val="000000"/>
          <w:sz w:val="20"/>
        </w:rPr>
        <w:t>Other Information.</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none of our directors or officers (as defined in Item 408 of Regulation S-K of the Securities Exchange Act) adopted or terminated "Rule 10b5-1 trading arrangements" or "non-Rule 10b5-1 trading arrangements" (each term as defined in Item 408 of Regulation S-K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28650"/>
                <wp:effectExtent l="0" t="0" r="0" b="0"/>
                <wp:wrapNone/>
                <wp:docPr id="51" name="Frame5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w:t>
      </w:r>
      <w:r>
        <w:rPr>
          <w:color w:val="000000"/>
        </w:rPr>
        <w:t>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85"/>
        <w:gridCol w:w="240"/>
        <w:gridCol w:w="245"/>
        <w:gridCol w:w="2848"/>
        <w:gridCol w:w="2723"/>
        <w:gridCol w:w="3864"/>
      </w:tblGrid>
      <w:tr>
        <w:trPr/>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64"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Certificate of Incorporation of the Company (filed as Exhibit 3.1 to the Company's Registration Statement on Form S-1/A (File No. 333-24733) filed June 10, 1997)</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Amendment to the Amended and Restated Certificate of Incorporation of the Company (filed as Exhibit 3.1 to the Company's Current Report on Form 8-K filed August 16, 2011)</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 xml:space="preserve">Fifth Amended and Restated By-Laws of the Company (filed as Exhibit 3.3 to the Form 10-K filed May 23, 2024) </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l-20260627x10qex101.htm">
              <w:r>
                <w:rPr>
                  <w:rStyle w:val="InternetLink"/>
                  <w:rFonts w:ascii="Times New Roman;serif" w:hAnsi="Times New Roman;serif"/>
                  <w:b w:val="false"/>
                  <w:color w:val="0000FF"/>
                  <w:sz w:val="20"/>
                  <w:u w:val="single"/>
                </w:rPr>
                <w:t>Amendment No. 6 to the Employment Agreement, dated August 3, 2026 between the Company and Patrice Louvet†</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l-20260627x10qex102.htm">
              <w:r>
                <w:rPr>
                  <w:rStyle w:val="InternetLink"/>
                  <w:rFonts w:ascii="Times New Roman;serif" w:hAnsi="Times New Roman;serif"/>
                  <w:b w:val="false"/>
                  <w:color w:val="0000FF"/>
                  <w:sz w:val="20"/>
                  <w:u w:val="single"/>
                </w:rPr>
                <w:t>Amendment No. 1 to the Employment Agreement, dated August 3, 2026 between the Company and Justin Picicci†</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l-20260627x10qex311.htm">
              <w:r>
                <w:rPr>
                  <w:rStyle w:val="InternetLink"/>
                  <w:rFonts w:ascii="Times New Roman;serif" w:hAnsi="Times New Roman;serif"/>
                  <w:b w:val="false"/>
                  <w:color w:val="0000FF"/>
                  <w:sz w:val="20"/>
                  <w:u w:val="single"/>
                </w:rPr>
                <w:t>Certification of Principal Executive Officer pursuant to 17 CFR 240.13a-14(a)</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l-20260627x10qex312.htm">
              <w:r>
                <w:rPr>
                  <w:rStyle w:val="InternetLink"/>
                  <w:rFonts w:ascii="Times New Roman;serif" w:hAnsi="Times New Roman;serif"/>
                  <w:b w:val="false"/>
                  <w:color w:val="0000FF"/>
                  <w:sz w:val="20"/>
                  <w:u w:val="single"/>
                </w:rPr>
                <w:t>Certification of Principal Financial Officer pursuant to 17 CFR 240.13a-14(a)</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l-20260627x10q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l-20260627x10q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Securities Exchange Act of 1934.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366" w:type="dxa"/>
        <w:jc w:val="center"/>
        <w:tblInd w:w="0" w:type="dxa"/>
        <w:tblLayout w:type="fixed"/>
        <w:tblCellMar>
          <w:top w:w="28" w:type="dxa"/>
          <w:left w:w="28" w:type="dxa"/>
          <w:bottom w:w="28" w:type="dxa"/>
          <w:right w:w="28" w:type="dxa"/>
        </w:tblCellMar>
      </w:tblPr>
      <w:tblGrid>
        <w:gridCol w:w="124"/>
        <w:gridCol w:w="109"/>
        <w:gridCol w:w="109"/>
        <w:gridCol w:w="1472"/>
        <w:gridCol w:w="1472"/>
        <w:gridCol w:w="2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8650"/>
                <wp:effectExtent l="0" t="0" r="0" b="0"/>
                <wp:wrapNone/>
                <wp:docPr id="52" name="Frame5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17"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1133"/>
        <w:gridCol w:w="1133"/>
        <w:gridCol w:w="16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RALPH LAUREN CORPORATION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JUSTIN M. PICICCI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Justin M. Picicci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28650"/>
                <wp:effectExtent l="0" t="0" r="0" b="0"/>
                <wp:wrapNone/>
                <wp:docPr id="53" name="Frame5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AMENDMENT NO. 6</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to the</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EMPLOYMENT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AMENDMENT (“</w:t>
      </w:r>
      <w:r>
        <w:rPr>
          <w:rFonts w:ascii="Times New Roman;serif" w:hAnsi="Times New Roman;serif"/>
          <w:b w:val="false"/>
          <w:color w:val="000000"/>
          <w:sz w:val="24"/>
          <w:u w:val="single"/>
        </w:rPr>
        <w:t>Amendment No. 6</w:t>
      </w:r>
      <w:r>
        <w:rPr>
          <w:color w:val="000000"/>
        </w:rPr>
        <w:t>”</w:t>
      </w:r>
      <w:r>
        <w:rPr>
          <w:rFonts w:ascii="Times New Roman;serif" w:hAnsi="Times New Roman;serif"/>
          <w:b w:val="false"/>
          <w:color w:val="000000"/>
          <w:sz w:val="24"/>
        </w:rPr>
        <w:t>) dated August 3, 2026, and made effective as of August 3</w:t>
      </w:r>
      <w:r>
        <w:rPr>
          <w:rFonts w:ascii="Times New Roman;serif" w:hAnsi="Times New Roman;serif"/>
          <w:b w:val="false"/>
          <w:color w:val="000000"/>
          <w:sz w:val="13"/>
        </w:rPr>
        <w:t>rd</w:t>
      </w:r>
      <w:r>
        <w:rPr>
          <w:rFonts w:ascii="Times New Roman;serif" w:hAnsi="Times New Roman;serif"/>
          <w:b w:val="false"/>
          <w:color w:val="000000"/>
          <w:sz w:val="24"/>
        </w:rPr>
        <w:t>,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by and between Ralph Lauren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Patrice Louvet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WHEREAS, the Executive serves as the President and Chief Executive Officer of the Company pursuant to an Employment Agreement by and between the Company and the Executive dated May 11, 2017, as amended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WHEREAS, the Company and the Executive wish to amend the Employment Agreement in certain respects;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NOW, THEREFORE, intending to be bound, the parties hereby agree as follows. </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1. Section 1.4(a) is amended in its entirety to read as follows, effective as of the date set forth above:</w:t>
      </w:r>
    </w:p>
    <w:p>
      <w:pPr>
        <w:pStyle w:val="TextBody"/>
        <w:bidi w:val="0"/>
        <w:spacing w:before="0" w:after="0"/>
        <w:jc w:val="left"/>
        <w:rPr/>
      </w:pPr>
      <w:r>
        <w:rPr/>
      </w:r>
    </w:p>
    <w:p>
      <w:pPr>
        <w:pStyle w:val="TextBody"/>
        <w:bidi w:val="0"/>
        <w:spacing w:lineRule="auto" w:line="268" w:before="0" w:after="0"/>
        <w:ind w:left="0" w:right="0" w:firstLine="1440"/>
        <w:jc w:val="left"/>
        <w:rPr/>
      </w:pPr>
      <w:r>
        <w:rPr>
          <w:color w:val="000000"/>
        </w:rPr>
        <w:t>“</w:t>
      </w:r>
      <w:r>
        <w:rPr>
          <w:rFonts w:ascii="Times New Roman;serif" w:hAnsi="Times New Roman;serif"/>
          <w:b w:val="false"/>
          <w:color w:val="000000"/>
          <w:sz w:val="24"/>
          <w:u w:val="single"/>
        </w:rPr>
        <w:t>Base Compensation</w:t>
      </w:r>
      <w:r>
        <w:rPr>
          <w:rFonts w:ascii="Times New Roman;serif" w:hAnsi="Times New Roman;serif"/>
          <w:b w:val="false"/>
          <w:color w:val="000000"/>
          <w:sz w:val="24"/>
        </w:rPr>
        <w:t>. In consideration of his services during the Term, the Corporation shall pay the Executive cash compensation at an annual rate of not less than one million two hundred and fifty thousand dollars ($1,250,000) through July 31, 2021, at an annual rate of not less than one million three hundred and fifty thousand dollars ($1,350,000) beginning August 1, 2021 and through August 2</w:t>
      </w:r>
      <w:r>
        <w:rPr>
          <w:rFonts w:ascii="Times New Roman;serif" w:hAnsi="Times New Roman;serif"/>
          <w:b w:val="false"/>
          <w:color w:val="000000"/>
          <w:sz w:val="13"/>
        </w:rPr>
        <w:t>nd</w:t>
      </w:r>
      <w:r>
        <w:rPr>
          <w:rFonts w:ascii="Times New Roman;serif" w:hAnsi="Times New Roman;serif"/>
          <w:b w:val="false"/>
          <w:color w:val="000000"/>
          <w:sz w:val="24"/>
        </w:rPr>
        <w:t>, 2026, and at an annual rate of not less than one million seven hundred and fifty thousand dollars ($1,750,000) beginning August 3</w:t>
      </w:r>
      <w:r>
        <w:rPr>
          <w:rFonts w:ascii="Times New Roman;serif" w:hAnsi="Times New Roman;serif"/>
          <w:b w:val="false"/>
          <w:color w:val="000000"/>
          <w:sz w:val="13"/>
        </w:rPr>
        <w:t>rd</w:t>
      </w:r>
      <w:r>
        <w:rPr>
          <w:rFonts w:ascii="Times New Roman;serif" w:hAnsi="Times New Roman;serif"/>
          <w:b w:val="false"/>
          <w:color w:val="000000"/>
          <w:sz w:val="24"/>
        </w:rPr>
        <w:t>, 2026 (as may be increased from time to time, “Base Compensation”), less applicable withholdings. Executive’s Base Compensation shall be subject to such increases (but not decreases) as may be approved by the Board or any committee thereof. The Base Compensation shall be payable as current salary, in installments not less frequently than monthly, and at the same rate for any fraction of a month unexpired at the end of the Term.”</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2. The Section entitled “Base Salary” in Exhibit 1 attached to the Employment Agreement is amended to read in its entirety as follows, effective as of the Effective Date:</w:t>
      </w:r>
    </w:p>
    <w:p>
      <w:pPr>
        <w:pStyle w:val="TextBody"/>
        <w:bidi w:val="0"/>
        <w:spacing w:before="0" w:after="0"/>
        <w:jc w:val="left"/>
        <w:rPr/>
      </w:pPr>
      <w:r>
        <w:rPr/>
      </w:r>
    </w:p>
    <w:p>
      <w:pPr>
        <w:pStyle w:val="TextBody"/>
        <w:bidi w:val="0"/>
        <w:spacing w:lineRule="auto" w:line="268" w:before="0" w:after="0"/>
        <w:ind w:left="0" w:right="0" w:firstLine="1440"/>
        <w:jc w:val="left"/>
        <w:rPr>
          <w:color w:val="000000"/>
        </w:rPr>
      </w:pPr>
      <w:r>
        <w:rPr>
          <w:color w:val="000000"/>
        </w:rPr>
        <w:t>“</w:t>
      </w:r>
      <w:r>
        <w:rPr>
          <w:rFonts w:ascii="Times New Roman;serif" w:hAnsi="Times New Roman;serif"/>
          <w:b w:val="false"/>
          <w:color w:val="000000"/>
          <w:sz w:val="24"/>
        </w:rPr>
        <w:t xml:space="preserve">$1,750,000 annually less all applicable taxes and other deductions.” </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3. The first paragraph of the Section entitled “Annual Equity Award” in Exhibit 1 attached to the Employment Agreement is amended in its entirety to read as follows, effective as of the Effective Date:</w:t>
      </w:r>
    </w:p>
    <w:p>
      <w:pPr>
        <w:pStyle w:val="TextBody"/>
        <w:bidi w:val="0"/>
        <w:spacing w:before="0" w:after="0"/>
        <w:jc w:val="left"/>
        <w:rPr/>
      </w:pPr>
      <w:r>
        <w:rPr/>
      </w:r>
    </w:p>
    <w:p>
      <w:pPr>
        <w:pStyle w:val="TextBody"/>
        <w:bidi w:val="0"/>
        <w:spacing w:lineRule="auto" w:line="268"/>
        <w:ind w:left="0" w:right="0" w:firstLine="1530"/>
        <w:jc w:val="left"/>
        <w:rPr>
          <w:color w:val="000000"/>
        </w:rPr>
      </w:pPr>
      <w:r>
        <w:rPr>
          <w:color w:val="000000"/>
        </w:rPr>
        <w:t>“</w:t>
      </w:r>
      <w:r>
        <w:rPr>
          <w:rFonts w:ascii="Times New Roman;serif" w:hAnsi="Times New Roman;serif"/>
          <w:b w:val="false"/>
          <w:color w:val="000000"/>
          <w:sz w:val="24"/>
        </w:rPr>
        <w:t xml:space="preserve">Beginning Fiscal 2027, target equity value of $18,000,000 to be granted annually at the same time as annual awards to other executives, normally in August but may be earlier or later, and under terms of the Ralph Lauren Corporation 2019 Long-Term Stock Incentive Plan, or any successor thereto (the “Plan”), as approved each year by the Talent, Culture and Total Rewards Committee of the Ralph Lauren Corporation Board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B6B6B6"/>
                                <w:sz w:val="24"/>
                              </w:rPr>
                            </w:pPr>
                            <w:r>
                              <w:rPr>
                                <w:rFonts w:ascii="Arial;sans-serif" w:hAnsi="Arial;sans-serif"/>
                                <w:b w:val="false"/>
                                <w:color w:val="B6B6B6"/>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B6B6B6"/>
                          <w:sz w:val="24"/>
                        </w:rPr>
                      </w:pPr>
                      <w:r>
                        <w:rPr>
                          <w:rFonts w:ascii="Arial;sans-serif" w:hAnsi="Arial;sans-serif"/>
                          <w:b w:val="false"/>
                          <w:color w:val="B6B6B6"/>
                          <w:sz w:val="24"/>
                        </w:rPr>
                        <w:t>1</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(“Talent Committee”), including grant structure, type of awards, conversion of value to actual number of shares, and other applicable factors as determined by the Committee in its discretion.”</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4. Except as amended and/or modified by this Amendment No. 6, the Employment Agreement is hereby ratified and confirmed and all other terms of the Employment Agreement shall remain in full force and effect, unaltered and unchanged by this Amendment No. 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Amendment No. 6 to be duly executed, and the Executive has hereunto set his hand on the date first set forth above, as of the Effective Date.</w:t>
      </w:r>
    </w:p>
    <w:p>
      <w:pPr>
        <w:pStyle w:val="TextBody"/>
        <w:bidi w:val="0"/>
        <w:spacing w:before="0" w:after="0"/>
        <w:jc w:val="left"/>
        <w:rPr/>
      </w:pPr>
      <w:r>
        <w:rPr/>
      </w:r>
    </w:p>
    <w:tbl>
      <w:tblPr>
        <w:tblW w:w="86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32"/>
        <w:gridCol w:w="632"/>
        <w:gridCol w:w="632"/>
        <w:gridCol w:w="1888"/>
        <w:gridCol w:w="1888"/>
        <w:gridCol w:w="189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RALPH LAUREN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Linda Findley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Linda Findley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Chair of the Talent, Culture and Total Rewards Committee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Patrice Louvet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Patrice Louvet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B6B6B6"/>
                                <w:sz w:val="24"/>
                              </w:rPr>
                            </w:pPr>
                            <w:r>
                              <w:rPr>
                                <w:rFonts w:ascii="Arial;sans-serif" w:hAnsi="Arial;sans-serif"/>
                                <w:b w:val="false"/>
                                <w:color w:val="B6B6B6"/>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B6B6B6"/>
                          <w:sz w:val="24"/>
                        </w:rPr>
                      </w:pPr>
                      <w:r>
                        <w:rPr>
                          <w:rFonts w:ascii="Arial;sans-serif" w:hAnsi="Arial;sans-serif"/>
                          <w:b w:val="false"/>
                          <w:color w:val="B6B6B6"/>
                          <w:sz w:val="24"/>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AMENDMENT NO. 1</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to the</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EMPLOYMENT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AMENDMENT (“</w:t>
      </w:r>
      <w:r>
        <w:rPr>
          <w:rFonts w:ascii="Times New Roman;serif" w:hAnsi="Times New Roman;serif"/>
          <w:b w:val="false"/>
          <w:color w:val="000000"/>
          <w:sz w:val="24"/>
          <w:u w:val="single"/>
        </w:rPr>
        <w:t>Amendment No. 1</w:t>
      </w:r>
      <w:r>
        <w:rPr>
          <w:color w:val="000000"/>
        </w:rPr>
        <w:t>”</w:t>
      </w:r>
      <w:r>
        <w:rPr>
          <w:rFonts w:ascii="Times New Roman;serif" w:hAnsi="Times New Roman;serif"/>
          <w:b w:val="false"/>
          <w:color w:val="000000"/>
          <w:sz w:val="24"/>
        </w:rPr>
        <w:t>) dated August 3, 2026, and made effective as of August 3</w:t>
      </w:r>
      <w:r>
        <w:rPr>
          <w:rFonts w:ascii="Times New Roman;serif" w:hAnsi="Times New Roman;serif"/>
          <w:b w:val="false"/>
          <w:color w:val="000000"/>
          <w:sz w:val="13"/>
        </w:rPr>
        <w:t>rd</w:t>
      </w:r>
      <w:r>
        <w:rPr>
          <w:rFonts w:ascii="Times New Roman;serif" w:hAnsi="Times New Roman;serif"/>
          <w:b w:val="false"/>
          <w:color w:val="000000"/>
          <w:sz w:val="24"/>
        </w:rPr>
        <w:t>,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by and between Ralph Lauren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Justin Picicci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WHEREAS, the Executive serves as the Chief Financial Officer of the Company pursuant to an Employment Agreement by and between the Company and the Executive dated May 23, 2024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WHEREAS, the Company and the Executive wish to amend the Employment Agreement in certain respects;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NOW, THEREFORE, intending to be bound, the parties hereby agree as follows. </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1. Section 1.4(a) is amended in its entirety to read as follows, effective as of the date set forth above:</w:t>
      </w:r>
    </w:p>
    <w:p>
      <w:pPr>
        <w:pStyle w:val="TextBody"/>
        <w:bidi w:val="0"/>
        <w:spacing w:before="0" w:after="0"/>
        <w:jc w:val="left"/>
        <w:rPr/>
      </w:pPr>
      <w:r>
        <w:rPr/>
      </w:r>
    </w:p>
    <w:p>
      <w:pPr>
        <w:pStyle w:val="TextBody"/>
        <w:bidi w:val="0"/>
        <w:spacing w:lineRule="auto" w:line="268" w:before="0" w:after="0"/>
        <w:ind w:left="0" w:right="0" w:firstLine="1440"/>
        <w:jc w:val="left"/>
        <w:rPr/>
      </w:pPr>
      <w:r>
        <w:rPr>
          <w:color w:val="000000"/>
        </w:rPr>
        <w:t>“</w:t>
      </w:r>
      <w:r>
        <w:rPr>
          <w:rFonts w:ascii="Times New Roman;serif" w:hAnsi="Times New Roman;serif"/>
          <w:b w:val="false"/>
          <w:color w:val="000000"/>
          <w:sz w:val="24"/>
          <w:u w:val="single"/>
        </w:rPr>
        <w:t>Base Compensation</w:t>
      </w:r>
      <w:r>
        <w:rPr>
          <w:rFonts w:ascii="Times New Roman;serif" w:hAnsi="Times New Roman;serif"/>
          <w:b w:val="false"/>
          <w:color w:val="000000"/>
          <w:sz w:val="24"/>
        </w:rPr>
        <w:t>. In consideration of his services during the Term, the Corporation shall pay the Executive cash compensation at an annual rate of not less than seven hundred thousand dollars ($700,000) through August 2</w:t>
      </w:r>
      <w:r>
        <w:rPr>
          <w:rFonts w:ascii="Times New Roman;serif" w:hAnsi="Times New Roman;serif"/>
          <w:b w:val="false"/>
          <w:color w:val="000000"/>
          <w:sz w:val="13"/>
        </w:rPr>
        <w:t>nd</w:t>
      </w:r>
      <w:r>
        <w:rPr>
          <w:rFonts w:ascii="Times New Roman;serif" w:hAnsi="Times New Roman;serif"/>
          <w:b w:val="false"/>
          <w:color w:val="000000"/>
          <w:sz w:val="24"/>
        </w:rPr>
        <w:t>, 2026, and at an annual rate of not less than eight hundred thousand dollars ($800,000) beginning August 3</w:t>
      </w:r>
      <w:r>
        <w:rPr>
          <w:rFonts w:ascii="Times New Roman;serif" w:hAnsi="Times New Roman;serif"/>
          <w:b w:val="false"/>
          <w:color w:val="000000"/>
          <w:sz w:val="13"/>
        </w:rPr>
        <w:t>rd</w:t>
      </w:r>
      <w:r>
        <w:rPr>
          <w:rFonts w:ascii="Times New Roman;serif" w:hAnsi="Times New Roman;serif"/>
          <w:b w:val="false"/>
          <w:color w:val="000000"/>
          <w:sz w:val="24"/>
        </w:rPr>
        <w:t>, 2026 (as may be increased from time to time, “Base Compensation”), less applicable withholdings. Executive’s Base Compensation shall be subject to such increases as may be approved by the Board or Management. The Base Compensation shall be payable as current salary, in installments not less frequently than monthly, and at the same rate for any fraction of a month unexpired at the end of the Term.”</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2. The Section entitled “Base Salary” in Exhibit 1 attached to the Employment Agreement is amended to read in its entirety as follows, effective as of the Effective Date:</w:t>
      </w:r>
    </w:p>
    <w:p>
      <w:pPr>
        <w:pStyle w:val="TextBody"/>
        <w:bidi w:val="0"/>
        <w:spacing w:before="0" w:after="0"/>
        <w:jc w:val="left"/>
        <w:rPr/>
      </w:pPr>
      <w:r>
        <w:rPr/>
      </w:r>
    </w:p>
    <w:p>
      <w:pPr>
        <w:pStyle w:val="TextBody"/>
        <w:bidi w:val="0"/>
        <w:spacing w:lineRule="auto" w:line="268" w:before="0" w:after="0"/>
        <w:ind w:left="0" w:right="0" w:firstLine="1440"/>
        <w:jc w:val="left"/>
        <w:rPr>
          <w:color w:val="000000"/>
        </w:rPr>
      </w:pPr>
      <w:r>
        <w:rPr>
          <w:color w:val="000000"/>
        </w:rPr>
        <w:t>“</w:t>
      </w:r>
      <w:r>
        <w:rPr>
          <w:rFonts w:ascii="Times New Roman;serif" w:hAnsi="Times New Roman;serif"/>
          <w:b w:val="false"/>
          <w:color w:val="000000"/>
          <w:sz w:val="24"/>
        </w:rPr>
        <w:t xml:space="preserve">$800,000 annually less all applicable taxes and other deductions.” </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3. The Section entitled “Annual Equity Award” in Exhibit 1 attached to the Employment Agreement is amended in its entirety to read as follows, effective as of the Effective Date:</w:t>
      </w:r>
    </w:p>
    <w:p>
      <w:pPr>
        <w:pStyle w:val="TextBody"/>
        <w:bidi w:val="0"/>
        <w:spacing w:before="0" w:after="0"/>
        <w:jc w:val="left"/>
        <w:rPr/>
      </w:pPr>
      <w:r>
        <w:rPr/>
      </w:r>
    </w:p>
    <w:p>
      <w:pPr>
        <w:pStyle w:val="TextBody"/>
        <w:bidi w:val="0"/>
        <w:spacing w:lineRule="auto" w:line="268"/>
        <w:ind w:left="0" w:right="0" w:firstLine="1440"/>
        <w:jc w:val="left"/>
        <w:rPr>
          <w:color w:val="000000"/>
        </w:rPr>
      </w:pPr>
      <w:r>
        <w:rPr>
          <w:color w:val="000000"/>
        </w:rPr>
        <w:t>“</w:t>
      </w:r>
      <w:r>
        <w:rPr>
          <w:rFonts w:ascii="Times New Roman;serif" w:hAnsi="Times New Roman;serif"/>
          <w:b w:val="false"/>
          <w:color w:val="000000"/>
          <w:sz w:val="24"/>
        </w:rPr>
        <w:t>Beginning Fiscal 2027, target equity value of $1,500,000 to be granted annually at the same time as annual awards to other executives, normally in August but may be earlier or later, and under the terms of the Ralph Lauren Corporation 2019 Long-Term Stock Incentive Plan, or any successor thereto (the “Plan”), as approved each year by the Talent, Culture &amp; Total Rewards Committee of the Ralph Lauren Corporation Board of Directors (“Talent Committee”), including grant structure, type of awards, conversion of value to actual number of shares, and other applicable factors as determined by the Committee in its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B6B6B6"/>
                                <w:sz w:val="24"/>
                              </w:rPr>
                            </w:pPr>
                            <w:r>
                              <w:rPr>
                                <w:rFonts w:ascii="Arial;sans-serif" w:hAnsi="Arial;sans-serif"/>
                                <w:b w:val="false"/>
                                <w:color w:val="B6B6B6"/>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B6B6B6"/>
                          <w:sz w:val="24"/>
                        </w:rPr>
                      </w:pPr>
                      <w:r>
                        <w:rPr>
                          <w:rFonts w:ascii="Arial;sans-serif" w:hAnsi="Arial;sans-serif"/>
                          <w:b w:val="false"/>
                          <w:color w:val="B6B6B6"/>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4. Except as amended and/or modified by this Amendment No. 1, the Employment Agreement is hereby ratified and confirmed and all other terms of the Employment Agreement shall remain in full force and effect, unaltered and unchanged by this Amendment No. 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Amendment No. 1 to be duly executed, and the Executive has hereunto set his hand on the date first set forth above, as of the Effective Date.</w:t>
      </w:r>
    </w:p>
    <w:p>
      <w:pPr>
        <w:pStyle w:val="TextBody"/>
        <w:bidi w:val="0"/>
        <w:spacing w:before="0" w:after="0"/>
        <w:jc w:val="left"/>
        <w:rPr/>
      </w:pPr>
      <w:r>
        <w:rPr/>
      </w:r>
    </w:p>
    <w:tbl>
      <w:tblPr>
        <w:tblW w:w="815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32"/>
        <w:gridCol w:w="632"/>
        <w:gridCol w:w="632"/>
        <w:gridCol w:w="1738"/>
        <w:gridCol w:w="1738"/>
        <w:gridCol w:w="174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RALPH LAUREN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 Roseann Lynch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Roseann Lynch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Chief People Officer and Head of the RL Foundation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Justin Picicci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Justin Picicci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B6B6B6"/>
                                <w:sz w:val="24"/>
                              </w:rPr>
                            </w:pPr>
                            <w:r>
                              <w:rPr>
                                <w:rFonts w:ascii="Arial;sans-serif" w:hAnsi="Arial;sans-serif"/>
                                <w:b w:val="false"/>
                                <w:color w:val="B6B6B6"/>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B6B6B6"/>
                          <w:sz w:val="24"/>
                        </w:rPr>
                      </w:pPr>
                      <w:r>
                        <w:rPr>
                          <w:rFonts w:ascii="Arial;sans-serif" w:hAnsi="Arial;sans-serif"/>
                          <w:b w:val="false"/>
                          <w:color w:val="B6B6B6"/>
                          <w:sz w:val="24"/>
                        </w:rPr>
                        <w:t>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27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Patrice Louvet, certify that: </w:t>
      </w:r>
    </w:p>
    <w:p>
      <w:pPr>
        <w:pStyle w:val="TextBody"/>
        <w:bidi w:val="0"/>
        <w:spacing w:lineRule="auto" w:line="288" w:before="180" w:after="283"/>
        <w:jc w:val="both"/>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Ralph Lauren Corporation; </w:t>
      </w:r>
    </w:p>
    <w:p>
      <w:pPr>
        <w:pStyle w:val="TextBody"/>
        <w:bidi w:val="0"/>
        <w:spacing w:lineRule="auto" w:line="288" w:before="180" w:after="283"/>
        <w:jc w:val="both"/>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jc w:val="both"/>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jc w:val="both"/>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180" w:after="283"/>
        <w:jc w:val="both"/>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450"/>
        <w:jc w:val="left"/>
        <w:rPr/>
      </w:pPr>
      <w:r>
        <w:rPr/>
      </w:r>
    </w:p>
    <w:tbl>
      <w:tblPr>
        <w:tblW w:w="5084" w:type="dxa"/>
        <w:jc w:val="right"/>
        <w:tblInd w:w="0" w:type="dxa"/>
        <w:tblLayout w:type="fixed"/>
        <w:tblCellMar>
          <w:top w:w="28" w:type="dxa"/>
          <w:left w:w="28" w:type="dxa"/>
          <w:bottom w:w="28" w:type="dxa"/>
          <w:right w:w="28" w:type="dxa"/>
        </w:tblCellMar>
      </w:tblPr>
      <w:tblGrid>
        <w:gridCol w:w="667"/>
        <w:gridCol w:w="587"/>
        <w:gridCol w:w="590"/>
        <w:gridCol w:w="948"/>
        <w:gridCol w:w="948"/>
        <w:gridCol w:w="134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PATRICE LOUVET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Patrice Louvet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7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Justin M. Picicci, certify that: </w:t>
      </w:r>
    </w:p>
    <w:p>
      <w:pPr>
        <w:pStyle w:val="TextBody"/>
        <w:bidi w:val="0"/>
        <w:spacing w:lineRule="auto" w:line="288" w:before="180" w:after="283"/>
        <w:jc w:val="both"/>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Ralph Lauren Corporation; </w:t>
      </w:r>
    </w:p>
    <w:p>
      <w:pPr>
        <w:pStyle w:val="TextBody"/>
        <w:bidi w:val="0"/>
        <w:spacing w:lineRule="auto" w:line="288" w:before="180" w:after="283"/>
        <w:jc w:val="both"/>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jc w:val="both"/>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jc w:val="both"/>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180" w:after="283"/>
        <w:jc w:val="both"/>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495"/>
        <w:jc w:val="left"/>
        <w:rPr/>
      </w:pPr>
      <w:r>
        <w:rPr/>
      </w:r>
    </w:p>
    <w:tbl>
      <w:tblPr>
        <w:tblW w:w="5713" w:type="dxa"/>
        <w:jc w:val="right"/>
        <w:tblInd w:w="0" w:type="dxa"/>
        <w:tblLayout w:type="fixed"/>
        <w:tblCellMar>
          <w:top w:w="28" w:type="dxa"/>
          <w:left w:w="28" w:type="dxa"/>
          <w:bottom w:w="28" w:type="dxa"/>
          <w:right w:w="28" w:type="dxa"/>
        </w:tblCellMar>
      </w:tblPr>
      <w:tblGrid>
        <w:gridCol w:w="667"/>
        <w:gridCol w:w="587"/>
        <w:gridCol w:w="590"/>
        <w:gridCol w:w="1131"/>
        <w:gridCol w:w="1131"/>
        <w:gridCol w:w="160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JUSTIN M. PICICCI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Justin M. Picicci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25780"/>
                <wp:effectExtent l="0" t="0" r="0" b="0"/>
                <wp:wrapNone/>
                <wp:docPr id="59" name="Frame5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Patrice Louvet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Ralph Lauren Corporation (the "Company") on Form 10-Q for the period ended June 27, 2026, as filed with the Securities and Exchange Commission on the date hereof (the "Report"), I, Patrice Louvet, Chief Executive Officer of the Company, certify, pursuant to 18 U.S.C. Section 1350, as adopted pursuant to Section 906 of the Sarbanes-Oxley Act of 2002, that: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1.</w:t>
      </w:r>
      <w:r>
        <w:rPr>
          <w:rFonts w:ascii="Times New Roman;serif" w:hAnsi="Times New Roman;serif"/>
          <w:b w:val="false"/>
          <w:color w:val="000000"/>
          <w:sz w:val="20"/>
        </w:rPr>
        <w:t xml:space="preserve">The Report fully complies with the requirements of section 13(a) or 15(d) of the Securities Exchange Act of 1934; and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2.</w:t>
      </w:r>
      <w:r>
        <w:rPr>
          <w:rFonts w:ascii="Times New Roman;serif" w:hAnsi="Times New Roman;serif"/>
          <w:b w:val="false"/>
          <w:color w:val="000000"/>
          <w:sz w:val="20"/>
        </w:rPr>
        <w:t xml:space="preserve">The information contained in the Report fairly presents, in all material respects, the financial condition and result of operations of the Company. </w:t>
      </w:r>
    </w:p>
    <w:tbl>
      <w:tblPr>
        <w:tblW w:w="5084" w:type="dxa"/>
        <w:jc w:val="center"/>
        <w:tblInd w:w="0" w:type="dxa"/>
        <w:tblLayout w:type="fixed"/>
        <w:tblCellMar>
          <w:top w:w="28" w:type="dxa"/>
          <w:left w:w="28" w:type="dxa"/>
          <w:bottom w:w="28" w:type="dxa"/>
          <w:right w:w="28" w:type="dxa"/>
        </w:tblCellMar>
      </w:tblPr>
      <w:tblGrid>
        <w:gridCol w:w="667"/>
        <w:gridCol w:w="587"/>
        <w:gridCol w:w="590"/>
        <w:gridCol w:w="948"/>
        <w:gridCol w:w="948"/>
        <w:gridCol w:w="134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PATRICE LOUVET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Patrice Louvet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Ralph Lauren Corporation and will be retained by Ralph Lauren Corporation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25780"/>
                <wp:effectExtent l="0" t="0" r="0" b="0"/>
                <wp:wrapNone/>
                <wp:docPr id="60" name="Frame6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Justin M. Picicci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Ralph Lauren Corporation (the "Company") on Form 10-Q for the period ended June 27, 2026, as filed with the Securities and Exchange Commission on the date hereof (the "Report"), I, Justin M. Picicci, Chief Financial Officer of the Company, certify, pursuant to 18 U.S.C. Section 1350, as adopted pursuant to Section 906 of the Sarbanes-Oxley Act of 2002, that: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1.</w:t>
      </w:r>
      <w:r>
        <w:rPr>
          <w:rFonts w:ascii="Times New Roman;serif" w:hAnsi="Times New Roman;serif"/>
          <w:b w:val="false"/>
          <w:color w:val="000000"/>
          <w:sz w:val="20"/>
        </w:rPr>
        <w:t xml:space="preserve">The Report fully complies with the requirements of section 13(a) or 15(d) of the Securities Exchange Act of 1934; and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2.</w:t>
      </w:r>
      <w:r>
        <w:rPr>
          <w:rFonts w:ascii="Times New Roman;serif" w:hAnsi="Times New Roman;serif"/>
          <w:b w:val="false"/>
          <w:color w:val="000000"/>
          <w:sz w:val="20"/>
        </w:rPr>
        <w:t xml:space="preserve">The information contained in the Report fairly presents, in all material respects, the financial condition and result of operations of the Company. </w:t>
      </w:r>
    </w:p>
    <w:tbl>
      <w:tblPr>
        <w:tblW w:w="5713" w:type="dxa"/>
        <w:jc w:val="center"/>
        <w:tblInd w:w="0" w:type="dxa"/>
        <w:tblLayout w:type="fixed"/>
        <w:tblCellMar>
          <w:top w:w="28" w:type="dxa"/>
          <w:left w:w="28" w:type="dxa"/>
          <w:bottom w:w="28" w:type="dxa"/>
          <w:right w:w="28" w:type="dxa"/>
        </w:tblCellMar>
      </w:tblPr>
      <w:tblGrid>
        <w:gridCol w:w="667"/>
        <w:gridCol w:w="587"/>
        <w:gridCol w:w="590"/>
        <w:gridCol w:w="1131"/>
        <w:gridCol w:w="1131"/>
        <w:gridCol w:w="160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JUSTIN M. PICICCI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Justin M. Picicci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Ralph Lauren Corporation and will be retained by Ralph Lauren Corporation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01040"/>
                <wp:effectExtent l="0" t="0" r="0" b="0"/>
                <wp:wrapNone/>
                <wp:docPr id="61" name="Frame6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7038/0000950123-97-004911.txt" TargetMode="External"/><Relationship Id="rId3" Type="http://schemas.openxmlformats.org/officeDocument/2006/relationships/hyperlink" Target="https://www.sec.gov/Archives/edgar/data/1037038/000095014211001462/eh1100604-ex0301.htm" TargetMode="External"/><Relationship Id="rId4" Type="http://schemas.openxmlformats.org/officeDocument/2006/relationships/hyperlink" Target="https://www.sec.gov/Archives/edgar/data/1037038/000103703824000014/rl-20240330x10kex3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28079</Words>
  <Characters>158786</Characters>
  <CharactersWithSpaces>185228</CharactersWithSpaces>
  <Paragraphs>2765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