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55" w:right="339" w:bottom="1440" w:gutter="0" w:footer="0" w:header="0"/>
        </w:sectPr>
      </w:pPr>
    </w:p>
    <w:p>
      <w:pPr>
        <w:spacing w:after="0" w:line="20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001-13057</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13-2622036</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455"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Madison Avenue, New York, NY 10022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Avery S. Fischer</w:t>
      </w:r>
    </w:p>
    <w:p>
      <w:pPr>
        <w:spacing w:after="0" w:line="3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(212) 318-7000</w:t>
      </w:r>
    </w:p>
    <w:p>
      <w:pPr>
        <w:spacing w:after="0" w:line="9"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7"/>
          <w:szCs w:val="17"/>
          <w:color w:val="auto"/>
        </w:rPr>
        <w:t>(Name and telephone number, including area code, of the person</w:t>
      </w:r>
    </w:p>
    <w:p>
      <w:pPr>
        <w:spacing w:after="0" w:line="2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to contact in connection with this report)</w:t>
      </w:r>
    </w:p>
    <w:p>
      <w:pPr>
        <w:sectPr>
          <w:pgSz w:w="11900" w:h="16838" w:orient="portrait"/>
          <w:cols w:equalWidth="0" w:num="1">
            <w:col w:w="11240"/>
          </w:cols>
          <w:pgMar w:left="320" w:top="455" w:right="339"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right="1500" w:firstLine="8"/>
        <w:spacing w:after="0" w:line="239" w:lineRule="exact"/>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1.01. Conflict Minerals Disclosure and Report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Ralph Lauren Corporation (the “Company”) is a global leader in the design, marketing, and distribution of luxury lifestyle products, including apparel, footwear &amp; accessories, handbags, home, fragrances, hospitality and other licensed product categories. The Company does not directly manufacture products but rather contracts for the manufacture of products. This disclosure relates to the following product categories (the “Covered Products”): apparel, footwear &amp; accessories, handbags and home. The Covered Products include products: (a) that were manufactured by certain third parties that affixed the Company’s brand, marks, logo or label to a generic product; and (b) for which we exerted sufficient influence over the manufacture of the products such that we could be considered to have contracted for their manufacture. The Covered Products do not include licensed product categories.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indicates otherwise, the terms “Company,” “we,” “us” and “our” refer to Ralph Lauren Corporation and its consolidated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Specialized Disclosure Form (“Form SD”) is filed pursuant to Rule 13p-1 promulgated under the Securities Exchange Act of 1934, as amended (collectively with the Form SD, the “Conflict Minerals Rule”), for the period from January 1, 2025 to December 31, 2025 (the “Reporting Period”). We contract to manufacture certain products in which columbite-tantalite (coltan), cassiterite, gold, and wolframite, or their derivatives, tantalum, tin and tungsten (collectively, the “3TGs”), may be necessary to the functionality or production of those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conducted a reasonable country of origin inquiry (“RCOI”) to ascertain whether any 3TGs contained in our products originated in the Democratic Republic of the Congo (“DRC”) or an adjoining country (collectively, the “Covered Countries”) as defined in Rule 13p-1 of the Securities Exchange Act of 1934, as amended. The Conflict Minerals Report describes our RCOI and additional due diligence efforts to determine the source and chain of custody of the 3TGs that may be necessary to the functionality or production of our Covered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1.02. Conflict Minerals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Conflict Minerals Report is provided as Exhibit 1.01 to this Form SD and is publicly available at http://investor.ralphlauren.com.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EE"/>
        </w:rPr>
        <w:t>Conflict Minerals Report as required by Items 1.01 and 1.02 of this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658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RALPH LAUREN CORPORATION</w:t>
            </w:r>
          </w:p>
        </w:tc>
        <w:tc>
          <w:tcPr>
            <w:tcW w:w="112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65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Avery S. Fischer</w:t>
            </w:r>
          </w:p>
        </w:tc>
        <w:tc>
          <w:tcPr>
            <w:tcW w:w="1120" w:type="dxa"/>
            <w:vAlign w:val="bottom"/>
          </w:tcPr>
          <w:p>
            <w:pPr>
              <w:spacing w:after="0"/>
              <w:rPr>
                <w:sz w:val="24"/>
                <w:szCs w:val="24"/>
                <w:color w:val="auto"/>
              </w:rPr>
            </w:pP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Avery S. Fischer</w:t>
            </w:r>
          </w:p>
        </w:tc>
        <w:tc>
          <w:tcPr>
            <w:tcW w:w="1120" w:type="dxa"/>
            <w:vAlign w:val="bottom"/>
          </w:tcPr>
          <w:p>
            <w:pPr>
              <w:spacing w:after="0"/>
              <w:rPr>
                <w:sz w:val="16"/>
                <w:szCs w:val="16"/>
                <w:color w:val="auto"/>
              </w:rPr>
            </w:pP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Legal Officer and Secretary</w:t>
            </w:r>
          </w:p>
        </w:tc>
        <w:tc>
          <w:tcPr>
            <w:tcW w:w="1120" w:type="dxa"/>
            <w:vAlign w:val="bottom"/>
          </w:tcPr>
          <w:p>
            <w:pPr>
              <w:spacing w:after="0"/>
              <w:rPr>
                <w:sz w:val="20"/>
                <w:szCs w:val="20"/>
                <w:color w:val="auto"/>
              </w:rPr>
            </w:pPr>
          </w:p>
        </w:tc>
      </w:tr>
      <w:tr>
        <w:trPr>
          <w:trHeight w:val="1438"/>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16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Conflict Minerals Report of Ralph Lauren Corporation (the “Company”) has been prepared pursuant to Rule 13p-1 promulgated under the Securities Exchange Act of 1934, as amended (the “Conflict Minerals Rule”), for the reporting period January 1, 2025 to December 31, 2025 (the “Reporting Period”). Unless the context indicates otherwise, the terms “Company,” “we,” “us” and “our” refer to the Company and its consolidated subsidiaries.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Conflict Minerals Rule imposes certain reporting obligations on public companies whose manufactured products contain conflict minerals that are necessary to the functionality or production of their products. The term “conflict minerals” is defined by the Conflict Minerals Rule as: (a) cassiterite, columbite-tantalite (coltan), gold, wolframite, and their derivatives, which are limited to tin, tantalum, and tungsten (collectively, the “3TGs”); or (b) any other mineral or its derivatives determined by the Secretary of State to be financing conflict in the Democratic Republic of Congo ("DRC") or any adjoining country that shares an internationally recognized border with the DRC (the Republic of the Congo, the Central African Republic, South Sudan, Rwanda, Uganda, Zambia, Burundi, Tanzania and Angola) (collectively referred to as the “Covered Countries”).</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determined that we are subject to the requirements of the Conflict Minerals Rule because we contract to manufacture certain products in which one or more of the 3TGs may be necessary to the functionality or production of those products. As a result of this determination, the Company conducted a reasonable country of origin inquiry (“RCOI”) to ascertain whether any of the 3TGs in its products originated from the Covered Countries or from recycled or scrap sources. Based on the results of the RCOI and in accordance with the Conflict Minerals Rule, the Company then performed due diligence on the source and chain of custody of the 3TGs.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Company Overview</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 global leader in the design, marketing, and distribution of luxury lifestyle products, including apparel, footwear &amp; accessories, handbags, home, fragrances, hospitality, and other licensed product categories. We do not directly manufacture products, but rather we contract for the manufacture of our products. This report relates to the following product categories (the “Covered Products”): apparel, footwear &amp; accessories, handbags, and home. The Covered Products include products: (a) that were manufactured by certain third parties that affixed the Company’s brand, marks, logo, or label to a generic product; and (b) for which we exerted sufficient influence over the manufacture of the products such that we could be considered to have contracted for their manufacture. The Covered Products do not include licensed product categories.</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global network of suppliers, vendors, and factories (the “Supply Chain Participants”) and there are, generally, multiple tiers between the 3TG sources and our direct Supply Chain Participants. Since we do not directly manufacture products, but rather contract for the manufacture of the Covered Products, we must rely on our Supply Chain Participants to provide information regarding the products they supply to us and the origin of any 3TGs that are necessary to the functionality of those products. Due to the depth of our supply chain, we are far removed from the sources of ore from which 3TGs are produced and the smelters/refiners that process those ores. The efforts undertaken to identify the countries of origin of those ores reflect the Company’s circumstances and position in the supply chain as a “downstream” company with no direct influence on smelters or refiners (“SORs”). Since we do not have a direct relationship with smelters and refiners of 3TGs, we do not conduct or commission independent third party-audits of the smelters and refiners from which our independent Supply Chain Participants source 3TGs. We rely upon industry initiatives established by the London Bullion Market Association (“LBMA”), the Responsible Jewellery Council (“RJC”), and the Responsible Minerals Initiative (“RMI”) for independent third-party audit information.</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We are opposed to human rights abuses such as those occurring in the Covered Countries and are committed to the principles of ethical business practices, including the responsible sourcing of 3TGs. We expect that our Supply Chain Participants share this commitment and require that they cooperate with us in the compliance of the Conflict Minerals Rule.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expectations with respect to sourcing 3TGs reflect our continuing commitment to: identify product manufactured for us that contain 3TGs; engage with our Supply Chain Participants to identify the origin of those 3TGs; and deliver products to our consumers that are manufactured in a responsible and ethical manner. As we enter into new contractual arrangements with our Supply Chain Participants, or our contracts renew, we include provisions requiring them to represent that they do not source 3TGs from non-certified mines in the Covered Countries, and that they will identify, document and disclose to us, the source origins of any 3TGs utilized in their supply chain.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Reasonable Country of Origin Inquiry</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complexity of our supply chain and the breadth of our product offerings, we developed a risk-based approach that focused on Supply Chain Participants who were: (a) direct finished goods vendors, and (b) suppliers of raw materials and components that we believed were likely to supply us with products containing any of the 3TGs (such as hardware or metal components suppliers). As a result of our review, we determined that during the Reporting Period, we contracted to manufacture certain Covered Products containing 3TGs which are necessary to the functionality or production of those products. Based on this determination, we then conducted an RCOI to ascertain whether any 3TGs in the Covered Products originated in the Covered Countries.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determine the origin of the 3TGs in the Covered Products, we retained an independent third-party service provider (the “Service Provider”), to assist us in reviewing our supply chain. Utilizing the Service Provider’s web-based software as a service tool, the Company requested its Supply Chain Participants to complete the RMI’s Conflict Minerals Reporting Template (“CMRT”). The Service Provider’s system allowed suppliers to complete and upload the CMRT directly into the system or complete an online survey version of this template directly on the Service Provider’s platform. The Conflict Minerals Survey was accompanied by an introductory message reiterating, to our Supply Chain Participants, our commitment to the responsible sourcing of 3TGs, and our expectations that our Supply Chain Participants share this commitment and cooperate with our compliance efforts.</w:t>
      </w:r>
    </w:p>
    <w:p>
      <w:pPr>
        <w:spacing w:after="0" w:line="2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use of the CMRT allowed for some elimination of “out of scope” suppliers. The CMRT also allowed us to collect the following information from each of our Supply Chain Participants:</w:t>
      </w:r>
    </w:p>
    <w:p>
      <w:pPr>
        <w:spacing w:after="0" w:line="175" w:lineRule="exact"/>
        <w:rPr>
          <w:sz w:val="20"/>
          <w:szCs w:val="20"/>
          <w:color w:val="auto"/>
        </w:rPr>
      </w:pPr>
    </w:p>
    <w:p>
      <w:pPr>
        <w:ind w:left="900" w:hanging="379"/>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types of raw materials, product components or Covered Products such Supply Chain Participant provided to the Company during the Reporting Period;</w:t>
      </w:r>
    </w:p>
    <w:p>
      <w:pPr>
        <w:spacing w:after="0" w:line="161"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source or origin of any 3TGs, including the names and locations of smelters and refiners or source of 3TGs supplied to the Company;</w:t>
      </w:r>
    </w:p>
    <w:p>
      <w:pPr>
        <w:spacing w:after="0" w:line="16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3TGs supplied to the Company came from recycled or scrap sources; and</w:t>
      </w:r>
    </w:p>
    <w:p>
      <w:pPr>
        <w:spacing w:after="0" w:line="22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additional information related to such Supply Chain Participant’s sourcing and compliance activities.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ind w:right="20"/>
        <w:spacing w:after="0" w:line="282" w:lineRule="auto"/>
        <w:rPr>
          <w:sz w:val="20"/>
          <w:szCs w:val="20"/>
          <w:color w:val="auto"/>
        </w:rPr>
      </w:pPr>
      <w:r>
        <w:rPr>
          <w:rFonts w:ascii="Times New Roman" w:cs="Times New Roman" w:eastAsia="Times New Roman" w:hAnsi="Times New Roman"/>
          <w:sz w:val="18"/>
          <w:szCs w:val="18"/>
          <w:color w:val="auto"/>
        </w:rPr>
        <w:t>Supplier responses were evaluated for plausibility, consistency, and gaps. If any of the following “quality control” flags were raised, suppliers were automatically contacted by the Service Provider’s platform:</w:t>
      </w:r>
    </w:p>
    <w:p>
      <w:pPr>
        <w:spacing w:after="0" w:line="162" w:lineRule="exact"/>
        <w:rPr>
          <w:sz w:val="20"/>
          <w:szCs w:val="20"/>
          <w:color w:val="auto"/>
        </w:rPr>
      </w:pPr>
    </w:p>
    <w:p>
      <w:pPr>
        <w:ind w:left="760" w:hanging="334"/>
        <w:spacing w:after="0"/>
        <w:tabs>
          <w:tab w:leader="none" w:pos="7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One or more SORs were listed for an unused metal;</w:t>
      </w:r>
    </w:p>
    <w:p>
      <w:pPr>
        <w:spacing w:after="0" w:line="26" w:lineRule="exact"/>
        <w:rPr>
          <w:rFonts w:ascii="Arial" w:cs="Arial" w:eastAsia="Arial" w:hAnsi="Arial"/>
          <w:sz w:val="18"/>
          <w:szCs w:val="18"/>
          <w:b w:val="1"/>
          <w:bCs w:val="1"/>
          <w:color w:val="auto"/>
        </w:rPr>
      </w:pPr>
    </w:p>
    <w:p>
      <w:pPr>
        <w:ind w:left="760" w:hanging="334"/>
        <w:spacing w:after="0"/>
        <w:tabs>
          <w:tab w:leader="none" w:pos="7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SOR information was not provided for a used metal, or SOR information provided was not a verified metal processor;</w:t>
      </w:r>
    </w:p>
    <w:p>
      <w:pPr>
        <w:spacing w:after="0" w:line="8" w:lineRule="exact"/>
        <w:rPr>
          <w:rFonts w:ascii="Arial" w:cs="Arial" w:eastAsia="Arial" w:hAnsi="Arial"/>
          <w:sz w:val="18"/>
          <w:szCs w:val="18"/>
          <w:b w:val="1"/>
          <w:bCs w:val="1"/>
          <w:color w:val="auto"/>
        </w:rPr>
      </w:pPr>
    </w:p>
    <w:p>
      <w:pPr>
        <w:ind w:left="760" w:hanging="334"/>
        <w:spacing w:after="0" w:line="249" w:lineRule="auto"/>
        <w:tabs>
          <w:tab w:leader="none" w:pos="7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Supplier answered yes to sourcing from the Democratic Republic of the Congo or adjoining countries (“DRC”), but none of the SORs listed are known to source from the region;</w:t>
      </w:r>
    </w:p>
    <w:p>
      <w:pPr>
        <w:spacing w:after="0" w:line="1" w:lineRule="exact"/>
        <w:rPr>
          <w:rFonts w:ascii="Arial" w:cs="Arial" w:eastAsia="Arial" w:hAnsi="Arial"/>
          <w:sz w:val="18"/>
          <w:szCs w:val="18"/>
          <w:b w:val="1"/>
          <w:bCs w:val="1"/>
          <w:color w:val="auto"/>
        </w:rPr>
      </w:pPr>
    </w:p>
    <w:p>
      <w:pPr>
        <w:ind w:left="760" w:hanging="334"/>
        <w:spacing w:after="0"/>
        <w:tabs>
          <w:tab w:leader="none" w:pos="7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Supplier indicated that they have not received conflict minerals data for each metal from all relevant suppliers;</w:t>
      </w:r>
    </w:p>
    <w:p>
      <w:pPr>
        <w:spacing w:after="0" w:line="8" w:lineRule="exact"/>
        <w:rPr>
          <w:rFonts w:ascii="Arial" w:cs="Arial" w:eastAsia="Arial" w:hAnsi="Arial"/>
          <w:sz w:val="18"/>
          <w:szCs w:val="18"/>
          <w:b w:val="1"/>
          <w:bCs w:val="1"/>
          <w:color w:val="auto"/>
        </w:rPr>
      </w:pPr>
    </w:p>
    <w:p>
      <w:pPr>
        <w:ind w:left="760" w:hanging="334"/>
        <w:spacing w:after="0"/>
        <w:tabs>
          <w:tab w:leader="none" w:pos="7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Supplier indicated they have not identified all of the SORs used for the products included in the declaration scope;</w:t>
      </w:r>
    </w:p>
    <w:p>
      <w:pPr>
        <w:spacing w:after="0" w:line="8" w:lineRule="exact"/>
        <w:rPr>
          <w:rFonts w:ascii="Arial" w:cs="Arial" w:eastAsia="Arial" w:hAnsi="Arial"/>
          <w:sz w:val="18"/>
          <w:szCs w:val="18"/>
          <w:b w:val="1"/>
          <w:bCs w:val="1"/>
          <w:color w:val="auto"/>
        </w:rPr>
      </w:pPr>
    </w:p>
    <w:p>
      <w:pPr>
        <w:ind w:left="760" w:hanging="334"/>
        <w:spacing w:after="0"/>
        <w:tabs>
          <w:tab w:leader="none" w:pos="7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Supplier indicated they have not provided all applicable SOR information received; and</w:t>
      </w:r>
    </w:p>
    <w:p>
      <w:pPr>
        <w:spacing w:after="0" w:line="8" w:lineRule="exact"/>
        <w:rPr>
          <w:rFonts w:ascii="Arial" w:cs="Arial" w:eastAsia="Arial" w:hAnsi="Arial"/>
          <w:sz w:val="18"/>
          <w:szCs w:val="18"/>
          <w:b w:val="1"/>
          <w:bCs w:val="1"/>
          <w:color w:val="auto"/>
        </w:rPr>
      </w:pPr>
    </w:p>
    <w:p>
      <w:pPr>
        <w:ind w:left="760" w:hanging="334"/>
        <w:spacing w:after="0" w:line="259" w:lineRule="auto"/>
        <w:tabs>
          <w:tab w:leader="none" w:pos="7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Supplier indicated 100% of the 3TG for products covered by the declaration originates from scrap/recycled sources, but one or more SORs listed are not known to be exclusive recyclers.</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results of the RCOI and in accordance with the Conflict Minerals Rule, the Company then performed due diligence on the source and chain of custody of the 3TGs.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Due Diligence Measures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w:t>
      </w:r>
    </w:p>
    <w:p>
      <w:pPr>
        <w:spacing w:after="0" w:line="24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based our due diligence measures, in all material respects, on the framework set forth in the Organisation for Economic Co-Operation and Development (“OECD”) Due Diligence Guidance for Responsible Supply Chains of Minerals from Conflict-Affected and High Risk Areas: Third Edition, including the supplements on tin, tantalum, tungsten and gold (“OECD Guidance”). The OECD Guidance was written for both upstream and downstream companies in the supply chain. Since the Company is a “downstream” company, with no direct relationship or influence on SORs of 3TGs, our due diligence practices were tailored accordingly. We also consider the requirements of the European Union Conflicts Minerals Rule with respect to due diligence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Establish Strong Company Management Systems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developed management systems regarding the Conflict Minerals Rule. These systems include the following elements:</w:t>
      </w:r>
    </w:p>
    <w:p>
      <w:pPr>
        <w:spacing w:after="0" w:line="250" w:lineRule="exact"/>
        <w:rPr>
          <w:sz w:val="20"/>
          <w:szCs w:val="20"/>
          <w:color w:val="auto"/>
        </w:rPr>
      </w:pPr>
    </w:p>
    <w:p>
      <w:pPr>
        <w:ind w:left="660" w:hanging="328"/>
        <w:spacing w:after="0" w:line="283"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Conflict Minerals Policy: </w:t>
      </w:r>
      <w:r>
        <w:rPr>
          <w:rFonts w:ascii="Times New Roman" w:cs="Times New Roman" w:eastAsia="Times New Roman" w:hAnsi="Times New Roman"/>
          <w:sz w:val="18"/>
          <w:szCs w:val="18"/>
          <w:color w:val="auto"/>
        </w:rPr>
        <w:t>The Company has adopted a Conflict Minerals Policy which is available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https://corporate.ralphlauren.com/reports-and-policies</w:t>
      </w:r>
      <w:r>
        <w:rPr>
          <w:rFonts w:ascii="Times New Roman" w:cs="Times New Roman" w:eastAsia="Times New Roman" w:hAnsi="Times New Roman"/>
          <w:sz w:val="18"/>
          <w:szCs w:val="18"/>
          <w:color w:val="000000"/>
        </w:rPr>
        <w:t>;</w:t>
      </w:r>
    </w:p>
    <w:p>
      <w:pPr>
        <w:spacing w:after="0" w:line="158"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Internal Team</w:t>
      </w:r>
      <w:r>
        <w:rPr>
          <w:rFonts w:ascii="Times New Roman" w:cs="Times New Roman" w:eastAsia="Times New Roman" w:hAnsi="Times New Roman"/>
          <w:sz w:val="18"/>
          <w:szCs w:val="18"/>
          <w:color w:val="auto"/>
        </w:rPr>
        <w:t>: The Company has established an internal team responsible for managing the due diligence process to comply with the Conflict</w:t>
      </w:r>
    </w:p>
    <w:p>
      <w:pPr>
        <w:spacing w:after="0" w:line="28" w:lineRule="exact"/>
        <w:rPr>
          <w:rFonts w:ascii="Arial" w:cs="Arial" w:eastAsia="Arial" w:hAnsi="Arial"/>
          <w:sz w:val="18"/>
          <w:szCs w:val="18"/>
          <w:b w:val="1"/>
          <w:bCs w:val="1"/>
          <w:color w:val="auto"/>
        </w:rPr>
      </w:pPr>
    </w:p>
    <w:p>
      <w:pPr>
        <w:jc w:val="both"/>
        <w:ind w:left="660"/>
        <w:spacing w:after="0" w:line="253"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Minerals Rule. This team includes representatives from the following departments at the Company: (i) Global Citizenship, Worker Well- Being; (ii) Global Manufacturing and Sourcing; (iii) Global Quality Assurance &amp; Testing; and (iv) Legal. As previously noted, the Company also utilizes a Service Provider, to complement our internal Conflict Minerals team. The Service Provider assists with collecting and evaluating supply chain information regarding 3TGs; communicating with Supply Chain Participants, and developing and implementing due diligence measures;</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both"/>
        <w:ind w:left="660" w:hanging="328"/>
        <w:spacing w:after="0" w:line="26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Control Systems: </w:t>
      </w:r>
      <w:r>
        <w:rPr>
          <w:rFonts w:ascii="Times New Roman" w:cs="Times New Roman" w:eastAsia="Times New Roman" w:hAnsi="Times New Roman"/>
          <w:sz w:val="18"/>
          <w:szCs w:val="18"/>
          <w:color w:val="auto"/>
        </w:rPr>
        <w:t>The Company has established a control system which documents its due diligence activities, including findings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within our supply chain. Utilizing the Service Provider’s web-based system, we communicated the Company’s expectations regarding compliance with the Conflict Minerals Rule, to our Supply Chain Participants, and followed-up with our Supply Chain Participants via e-mail and telephone conversations. All these activities are documented and retained in the Service Provider’s database;</w:t>
      </w:r>
    </w:p>
    <w:p>
      <w:pPr>
        <w:spacing w:after="0" w:line="178" w:lineRule="exact"/>
        <w:rPr>
          <w:rFonts w:ascii="Arial" w:cs="Arial" w:eastAsia="Arial" w:hAnsi="Arial"/>
          <w:sz w:val="18"/>
          <w:szCs w:val="18"/>
          <w:b w:val="1"/>
          <w:bCs w:val="1"/>
          <w:color w:val="auto"/>
        </w:rPr>
      </w:pPr>
    </w:p>
    <w:p>
      <w:pPr>
        <w:jc w:val="both"/>
        <w:ind w:left="660" w:hanging="328"/>
        <w:spacing w:after="0" w:line="254"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Supplier Engagement</w:t>
      </w:r>
      <w:r>
        <w:rPr>
          <w:rFonts w:ascii="Times New Roman" w:cs="Times New Roman" w:eastAsia="Times New Roman" w:hAnsi="Times New Roman"/>
          <w:sz w:val="18"/>
          <w:szCs w:val="18"/>
          <w:color w:val="auto"/>
        </w:rPr>
        <w:t>: As we enter into new or renew our existing contractual arrangements with our Supply Chain Participants, we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requiring them to represent that they do not source 3TGs from non-certified mines in the Covered Countries, and that they will identify, document and disclose to us, the source origins of any 3TGs utilized in their supply chain. The Company provided each of its Supply Chain Participants with a CMRT, using the Service Provider’s web-based tool. In an effort to increase awareness of the Conflict Minerals Compliance Program, supporting regulations, and frequently asked questions concerning 3TG mineral tracing, the Company’s suppliers were introduced to the Service Provider’s Conflict Minerals Learning Center in the initial registration email. The Supplier Resource Center was provided as an educational tool to facilitate a deeper understanding of the program and education as to why information is being requested. There were also opportunities to participate in webinars providing information on the Conflict Minerals Rule. Supply Chain Participants were also provided access to the Service Provider’s help desk support to provide guidance related to properly filing the CMRT;</w:t>
      </w:r>
    </w:p>
    <w:p>
      <w:pPr>
        <w:spacing w:after="0" w:line="189" w:lineRule="exact"/>
        <w:rPr>
          <w:rFonts w:ascii="Arial" w:cs="Arial" w:eastAsia="Arial" w:hAnsi="Arial"/>
          <w:sz w:val="18"/>
          <w:szCs w:val="18"/>
          <w:b w:val="1"/>
          <w:bCs w:val="1"/>
          <w:color w:val="auto"/>
        </w:rPr>
      </w:pPr>
    </w:p>
    <w:p>
      <w:pPr>
        <w:jc w:val="both"/>
        <w:ind w:left="660"/>
        <w:spacing w:after="0" w:line="261"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Following the initial introductions to the program and information request, up to 10 reminder emails were sent to each non-responsive supplier requesting completion. If, after these efforts, a given supplier still did not register with the system or provide the information requested, an escalation process was initiated. The escalation process consisted of direct outreach by the Company. Specifically, the Company contacted these suppliers by email to request their participation in the program. The Service Provider followed up with an email in a timely manner;</w:t>
      </w:r>
    </w:p>
    <w:p>
      <w:pPr>
        <w:spacing w:after="0" w:line="177" w:lineRule="exact"/>
        <w:rPr>
          <w:rFonts w:ascii="Arial" w:cs="Arial" w:eastAsia="Arial" w:hAnsi="Arial"/>
          <w:sz w:val="18"/>
          <w:szCs w:val="18"/>
          <w:b w:val="1"/>
          <w:bCs w:val="1"/>
          <w:color w:val="auto"/>
        </w:rPr>
      </w:pPr>
    </w:p>
    <w:p>
      <w:pPr>
        <w:jc w:val="both"/>
        <w:ind w:left="660" w:hanging="328"/>
        <w:spacing w:after="0" w:line="26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Grievance Mechanism</w:t>
      </w:r>
      <w:r>
        <w:rPr>
          <w:rFonts w:ascii="Times New Roman" w:cs="Times New Roman" w:eastAsia="Times New Roman" w:hAnsi="Times New Roman"/>
          <w:sz w:val="18"/>
          <w:szCs w:val="18"/>
          <w:color w:val="auto"/>
        </w:rPr>
        <w:t>: The Company has implemented a mechanism that provides for confidential reporting of suspected violations or concerns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through the Company’s </w:t>
      </w:r>
      <w:r>
        <w:rPr>
          <w:rFonts w:ascii="Times New Roman" w:cs="Times New Roman" w:eastAsia="Times New Roman" w:hAnsi="Times New Roman"/>
          <w:sz w:val="18"/>
          <w:szCs w:val="18"/>
          <w:i w:val="1"/>
          <w:iCs w:val="1"/>
          <w:color w:val="auto"/>
        </w:rPr>
        <w:t>RL Hotline</w:t>
      </w:r>
      <w:r>
        <w:rPr>
          <w:rFonts w:ascii="Times New Roman" w:cs="Times New Roman" w:eastAsia="Times New Roman" w:hAnsi="Times New Roman"/>
          <w:sz w:val="18"/>
          <w:szCs w:val="18"/>
          <w:color w:val="auto"/>
        </w:rPr>
        <w:t>, a reporting service that is maintained by an independent third party. Violations or grievances at the industry level may also be reported to the RMI directly, via the RMI Minerals Grievance Platform, accessible at: https://mineralsgrievanceplatform.org/; and</w:t>
      </w:r>
    </w:p>
    <w:p>
      <w:pPr>
        <w:spacing w:after="0" w:line="192" w:lineRule="exact"/>
        <w:rPr>
          <w:rFonts w:ascii="Arial" w:cs="Arial" w:eastAsia="Arial" w:hAnsi="Arial"/>
          <w:sz w:val="18"/>
          <w:szCs w:val="18"/>
          <w:b w:val="1"/>
          <w:bCs w:val="1"/>
          <w:color w:val="auto"/>
        </w:rPr>
      </w:pPr>
    </w:p>
    <w:p>
      <w:pPr>
        <w:jc w:val="both"/>
        <w:ind w:left="660" w:hanging="328"/>
        <w:spacing w:after="0" w:line="266"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Maintain Records</w:t>
      </w:r>
      <w:r>
        <w:rPr>
          <w:rFonts w:ascii="Times New Roman" w:cs="Times New Roman" w:eastAsia="Times New Roman" w:hAnsi="Times New Roman"/>
          <w:sz w:val="18"/>
          <w:szCs w:val="18"/>
          <w:color w:val="auto"/>
        </w:rPr>
        <w:t>: The Company has implemented a document retention policy through the Service Provider’s system which will retain Conflict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Minerals-related documents, including the Supply Chain Participants’ responses to Conflict Minerals Surveys and sources identified, for a period of five (5) years. The Service Provider’s database can be audited by internal or external parties.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Supply Chain Risk Identification and Assessment</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those supply chains with SORs that are known or thought to be sourcing from the DRC, additional investigation is needed to determine the source and chain-of-custody of the regulated metals. The Service Provider relies on the following internationally accepted audit standards to determine which SORs are considered “DRC Conflict Free”: RMI’s Responsible Minerals Assurance Process (“RMAP”), the LBMA’s Responsible Gold Certification, and RJC’s Chain-of-Custody Certification. The Service Provider is an official vendor member of the RMI to further facilitate the exchange of supply chain data and technical information in the quest for global ethical sourcing of materials.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SOR is not certified by these internationally recognized schemes, the Service Provider attempts to contact the SOR to gain more information about their sourcing practices, including countries of origin and transfer, and whether there are any internal due diligence procedures in place or other processes the SORs takes to track the chain-of-custody on the source of its mineral ores. Relevant information to review includes: whether the SOR has a documented, effective, and communicated conflict-free policy, an accounting system to support a mass balance of materials processed, and traceability documentation. Internet research is also performed to determine whether there are any outside sources of information regarding the SORs’ sourcing practices. Up to three contact attempts are made by the Service Provider to SORs to gather information on mine country of origin and sourcing practices.</w:t>
      </w: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noted, our Supply Chain Participants consist of a global network of suppliers, vendors, and factories. As such, completed CMRTs from each of our Supply Chain Participants were comprehensive and, in most cases, included all facilities in such participant’s network, not just the particular facility that produced the Company’s Covered Products. As a result, because of the nature of our Supply Chain Participants’ global network of factories and facilities, this report may include more facilities than those that actually processed the 3TGs present in the Company’s Covered Products.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Design and Implement a Strategy to Respond to Risks</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risk management plan to respond to any situations which might arise involving Conflict Minerals includes carrying out the due diligence described in this Report, understanding the products impacted by any supplied materials identified as containing 3TGs, understanding the extent of the Company’s reliance on such materials, undertaking additional due diligence and risk mitigation to respond to identified risks, and communicating to our Supply Chain Participants that any 3TGs should be sourced responsibly.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Feedback on CMRT submissions are provided directly to Supply Chain Participants, and multilingual educational resources regarding corrective action methods and improvements to supplier programs and processes are available at no expense on the Service Provider’s platform. In accordance with OECD Guidance, risk mitigation will depend on the Supply Chain Participant’s specific program, including such participant’s due diligence measures, and corrective actions.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Independent Third Party Private Sector Audit</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not required to obtain an independent private sector audit (“IPSA”). If an IPSA is required in the future, we will outline the results of any required audit. We do not have a direct relationship with any 3TG SORs and do not perform or direct audits of these entities within our supply chain. Instead, we rely on third-party audits of smelters and refiners conducted as part of the RMI RMAP Audit Program, which uses independent private sector auditors to audit the source, including the mines of origin, and the chain of custody of the conflict minerals used by smelters and refiners that agree to participate in the program. The Service Provider also directly contacts smelters and refiners that are not currently enrolled in the RMAP to encourage their participation and gather information regarding each facilities’ sourcing practices.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Report on Supply Chain Due Diligence</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With the preparation and release of this Report, we have published a report of our due diligence measures with respect to the sourcing of 3TGs. A copy of this report is available at </w:t>
      </w:r>
      <w:r>
        <w:rPr>
          <w:rFonts w:ascii="Times New Roman" w:cs="Times New Roman" w:eastAsia="Times New Roman" w:hAnsi="Times New Roman"/>
          <w:sz w:val="18"/>
          <w:szCs w:val="18"/>
          <w:u w:val="single" w:color="auto"/>
          <w:color w:val="auto"/>
        </w:rPr>
        <w:t>http://investor.ralphlauren.com</w:t>
      </w:r>
      <w:r>
        <w:rPr>
          <w:rFonts w:ascii="Times New Roman" w:cs="Times New Roman" w:eastAsia="Times New Roman" w:hAnsi="Times New Roman"/>
          <w:sz w:val="18"/>
          <w:szCs w:val="18"/>
          <w:color w:val="auto"/>
        </w:rPr>
        <w:t>. We have also publicly filed our Form SD and Conflict Minerals Report with the Securities and Exchange Commission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Due Diligence Findings</w:t>
      </w:r>
    </w:p>
    <w:p>
      <w:pPr>
        <w:spacing w:after="0" w:line="2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Based on the survey responses received from our Supply Chain Participants, we believe that </w:t>
      </w:r>
      <w:r>
        <w:rPr>
          <w:rFonts w:ascii="Times New Roman" w:cs="Times New Roman" w:eastAsia="Times New Roman" w:hAnsi="Times New Roman"/>
          <w:sz w:val="18"/>
          <w:szCs w:val="18"/>
          <w:b w:val="1"/>
          <w:bCs w:val="1"/>
          <w:color w:val="auto"/>
        </w:rPr>
        <w:t>gold and tin are</w:t>
      </w:r>
      <w:r>
        <w:rPr>
          <w:rFonts w:ascii="Times New Roman" w:cs="Times New Roman" w:eastAsia="Times New Roman" w:hAnsi="Times New Roman"/>
          <w:sz w:val="18"/>
          <w:szCs w:val="18"/>
          <w:color w:val="auto"/>
        </w:rPr>
        <w:t>, or may be, necessary to the functionality or production of: (1) products that our Company contracts to be manufactured, including, but not limited to apparel, and metal components such as zippers, trims, rivets, buttons, and buckles, and (2) accessories, such as, watches and fine jewelry.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previously noted, the Company does not have a direct relationship with SORs of 3TGs, and as a result, we must rely on our suppliers to provide us with smelter, refiner and country of origin data.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our RCOI, we believe that the facilities that were used by our Supply Chain Participants to process the 3TGs that may be contained in our Covered Products included, but may not be limited to, the SORs listed in the chart attached hereto as Schedule A and sourced from the countries of origin listed in Schedule B below. As previously noted, many of the CMRTs collected were provided at the Supply Chain Participant’s company or division level and therefore may include more facilities than those that actually processed the 3TGs present in the Company’s Covered Products.</w:t>
      </w:r>
    </w:p>
    <w:p>
      <w:pPr>
        <w:spacing w:after="0" w:line="1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Supply Chain Participants identified approximately 221 SORs which appear on the list maintained by the RMI. Of these, approximately 210 (approximately 95%) were certified as conflict-free by RMAP, LBMA, and/or RJC.</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Section 5. Steps to be Taken to Mitigate Risk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take the following steps to improve our due diligence measures and/or endeavor to mitigate risks:</w:t>
      </w:r>
    </w:p>
    <w:p>
      <w:pPr>
        <w:spacing w:after="0" w:line="25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communicate with our Supply Chain Participants regarding our expectations and requirements for compliance;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refine the RCOI process and procedures in an effort to increase the Conflict Minerals Survey response rate and improve the content of our Supply Chain Participants’ responses to the Conflict Minerals Survey;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monitor information regarding global traceability of raw materials in our products and continue to assess the use and source of 3TGs in our supply chain;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our Supply Chain Participants to conduct further due diligence on smelters in high risk countries;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raise awareness of our Supply Chain Participants by directing them to information and training resources regarding responsible sourcing of 3TGs and encouraging identified smelters and refiners to become audited in accordance with OECD Guidance;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identify additional available resources to evaluate risks, including: comprehensive smelter and refinery databases with detailed listings and audit status, credible media reports relating to 3TG sourcing, and open source regulatory databases for comparing facilities against government watch and denied parties lists;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monitor global legislative and regulatory developments and industry trends related to responsible sourcing focusing on human rights due diligence, transparency and risk mitigation;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participate in industry-based efforts, such as the working group on Conflict Minerals organized by the American Apparel &amp; Footwear Association, and relevant trade associations, such as the National Retail Federation and the United States Fashion Industry Association, to encourage further improvement and reliability in 3TG traceability programs, encourage responsible sourcing of 3TGs and to define and implement best practices.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NOTE REGARDING FORWARD LOOKING STATEMENTS</w:t>
      </w: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in this report or incorporated by reference into this report,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“outlook,” “estimate,” “ensure,” “commit,” “expect,” “project,” “believe,” “envision,” “goal,” “target,” “can”, “will” and similar words or phrases. These forward-looking statements involve known and unknown risks, uncertainties, and other factors which may cause actual results, performance, or achievements to be materially different from the future results, performance, or achievements expressed in or implied by such forward-looking statements. We undertake no obligation to publicly update or revise any forward-looking statements, whether as a result of new information, future events, or otherwise.</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340" w:type="dxa"/>
            <w:vAlign w:val="bottom"/>
          </w:tcPr>
          <w:p>
            <w:pPr>
              <w:spacing w:after="0"/>
              <w:rPr>
                <w:sz w:val="17"/>
                <w:szCs w:val="17"/>
                <w:color w:val="auto"/>
              </w:rPr>
            </w:pPr>
          </w:p>
        </w:tc>
      </w:tr>
      <w:tr>
        <w:trPr>
          <w:trHeight w:val="237"/>
        </w:trPr>
        <w:tc>
          <w:tcPr>
            <w:tcW w:w="17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34"/>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SOR ID</w:t>
            </w:r>
          </w:p>
        </w:tc>
      </w:tr>
      <w:tr>
        <w:trPr>
          <w:trHeight w:val="234"/>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A.L.M.T. TUNGSTEN Corp.</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CID000004</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CID002708</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Advanced Chemical Company</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CID000015</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Agosi AG</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CID000035</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CID000019</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CID000041</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CID000292</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AMG Brasil</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CID001076</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CID000058</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Argor-Heraeus S.A.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CID000077</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ASAHI METALFINE, Inc.</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CID000082</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Asahi Refining Canada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CID000924</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Asahi Refining USA Inc.</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CID000920</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CID000090</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CID002502</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Aurubis AG</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CID000113</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Aurubis Beerse</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CID002773</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Aurubis Berango</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CID002774</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Bangalore Refinery</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CID002863</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CID000128</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Boliden Ronnskar</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CID000157</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 Hafner GmbH + Co. KG</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CID000176</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CID000185</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CID000228</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CID003190</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Chimet S.p.A.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CID000233</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CID002641</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China Tin Group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CID001070</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CID000258</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Chugai Mining</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CID000264</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Coimpa Industrial LTDA</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CID004010</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CRM Fundicao De Metais E Comercio De Equipamentos Eletronicos Do Brasil Ltda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CID003486</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CRM Synergies</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CID003524</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Cronimet Brasil Ltda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CID003468</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CV Ayi Jaya</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CID002570</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 Block Metals, LLC</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CID002504</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CID002867</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Dowa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CID000402</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Dowa</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CID000401</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DSC (Do Sung Corporation)</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CID000359</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CID000425</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Elite Industeach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CID004755</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EM Vinto</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CID000438</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Estanho de Rondonia S.A.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CID000448</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CID000460</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CID003582</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Fenix Metals</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CID000468</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CID002505</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CID003609</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CID002315</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CID002494</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CID000942</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CID000538</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GG Refinery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CID004506</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CID002558</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CID002557</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CID000568</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Gold by Gold Colombia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CID003641</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Gold Corporation – The Perth Mint</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CID002030</w:t>
            </w:r>
          </w:p>
        </w:tc>
      </w:tr>
      <w:tr>
        <w:trPr>
          <w:trHeight w:val="47"/>
        </w:trPr>
        <w:tc>
          <w:tcPr>
            <w:tcW w:w="1720" w:type="dxa"/>
            <w:vAlign w:val="bottom"/>
            <w:tcBorders>
              <w:left w:val="single" w:sz="8" w:color="auto"/>
              <w:right w:val="single" w:sz="8" w:color="auto"/>
            </w:tcBorders>
          </w:tcPr>
          <w:p>
            <w:pPr>
              <w:spacing w:after="0"/>
              <w:rPr>
                <w:sz w:val="4"/>
                <w:szCs w:val="4"/>
                <w:color w:val="auto"/>
              </w:rPr>
            </w:pPr>
          </w:p>
        </w:tc>
        <w:tc>
          <w:tcPr>
            <w:tcW w:w="3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40" w:type="dxa"/>
            <w:vAlign w:val="bottom"/>
            <w:tcBorders>
              <w:right w:val="single" w:sz="8" w:color="auto"/>
            </w:tcBorders>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r>
    </w:tbl>
    <w:p>
      <w:pPr>
        <w:sectPr>
          <w:pgSz w:w="11900" w:h="16900" w:orient="portrait"/>
          <w:cols w:equalWidth="0" w:num="1">
            <w:col w:w="11240"/>
          </w:cols>
          <w:pgMar w:left="320" w:top="783" w:right="339" w:bottom="0" w:gutter="0" w:footer="0" w:header="0"/>
        </w:sectPr>
      </w:pPr>
    </w:p>
    <w:bookmarkStart w:id="10" w:name="page11"/>
    <w:bookmarkEnd w:id="10"/>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CID003116</w:t>
            </w:r>
          </w:p>
        </w:tc>
      </w:tr>
      <w:tr>
        <w:trPr>
          <w:trHeight w:val="232"/>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CID000291</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CID000218</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H.C. Starck Tungsten GmbH</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CID002541</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Heimerle + Meule GmbH</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CID000694</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CID002492</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CID000711</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CID000707</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CID003417</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CID002844</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 Products Branch</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CID002513</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CID004714</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CID000801</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CID000807</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Istanbul Gold Refinery</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CID000814</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Italpreziosi</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CID002765</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 Mint</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CID000823</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Japan New Metals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CID000825</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CID002551</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Jiangxi Copper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CID000855</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CID002512</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CID002321</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CID001231</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CID002318</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CID002842</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CID002317</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CID002316</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CID000914</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Jiujiang Tanbre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CID000917</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CID002506</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CID000937</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Kazzinc</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CID000957</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KEMET de Mexico</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CID002539</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CID004619</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Kennametal Fallon</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CID000966</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Kennametal Huntsville</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CID000105</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Kennecott Utah Copper LLC</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CID000969</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CID002511</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Kojima Chemicals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CID000981</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Korea Zinc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CID002605</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Lianyou Metals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CID003407</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Lianyou Resources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CID004397</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L'Orfebre S.A.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CID002762</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LS MnM Inc.</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CID001078</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Luna Smelter,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CID003387</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CID003379</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CID002468</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CID001105</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CID004434</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CID002319</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Masan High-Tech Materials</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CID002543</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Materion</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CID001113</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Materion Newton Inc.</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CID002548</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Matsuda Sangyo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CID001119</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CID003575</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Metallic Resources, Inc.</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CID001142</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CID001163</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CID001149</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CID001152</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CID001147</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S.A.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CID001153</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CID001157</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CID001161</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CID001173</w:t>
            </w:r>
          </w:p>
        </w:tc>
      </w:tr>
      <w:tr>
        <w:trPr>
          <w:trHeight w:val="155"/>
        </w:trPr>
        <w:tc>
          <w:tcPr>
            <w:tcW w:w="1720" w:type="dxa"/>
            <w:vAlign w:val="bottom"/>
            <w:tcBorders>
              <w:left w:val="single" w:sz="8" w:color="auto"/>
              <w:right w:val="single" w:sz="8" w:color="auto"/>
            </w:tcBorders>
          </w:tcPr>
          <w:p>
            <w:pPr>
              <w:spacing w:after="0"/>
              <w:rPr>
                <w:sz w:val="13"/>
                <w:szCs w:val="13"/>
                <w:color w:val="auto"/>
              </w:rPr>
            </w:pPr>
          </w:p>
        </w:tc>
        <w:tc>
          <w:tcPr>
            <w:tcW w:w="818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bl>
    <w:p>
      <w:pPr>
        <w:sectPr>
          <w:pgSz w:w="11900" w:h="16900" w:orient="portrait"/>
          <w:cols w:equalWidth="0" w:num="1">
            <w:col w:w="11240"/>
          </w:cols>
          <w:pgMar w:left="320" w:top="140" w:right="339" w:bottom="0" w:gutter="0" w:footer="0" w:header="0"/>
        </w:sectPr>
      </w:pPr>
    </w:p>
    <w:bookmarkStart w:id="11" w:name="page12"/>
    <w:bookmarkEnd w:id="11"/>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CID001175</w:t>
            </w:r>
          </w:p>
        </w:tc>
      </w:tr>
      <w:tr>
        <w:trPr>
          <w:trHeight w:val="232"/>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CID004065</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Minsur</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CID001182</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CID001188</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CID001191</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CID001193</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CID001192</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MKS PAMP SA</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CID001352</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MMTC-PAMP India Pvt.,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CID002509</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CID001220</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CID001236</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NH Recytech Company</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CID003189</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Niagara Refining LLC</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CID002589</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Nihon Material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CID001259</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CID001277</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NPM Silmet AS</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CID001200</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CID001314</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CID002517</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CID002779</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CID001325</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CID001337</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CID002827</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CID002919</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PowerX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CID004054</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CID003409</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CID001397</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Artha Cipta Langgeng</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CID001399</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CID002503</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Prima Tin</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CID002776</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PT Cipta Persada Mulia</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CID002696</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Mitra Stania Prima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CID001453</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CID003449</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Premium Tin Indonesia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CID000313</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PT Prima Timah Utama</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CID001458</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CID003868</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PT Rajehan Ariq</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CID002593</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Tbk Kundur</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CID001477</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PT Timah Tbk Mentok</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CID001482</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PX Precinox S.A.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CID001498</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QuantumClean</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CID001508</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Rand Refinery (Pty)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CID001512</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REMONDIS PMR B.V.</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CID002582</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CID002706</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CID002707</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CID003583</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Royal Canadian Mint</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CID001534</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Rui Da Hung</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CID001539</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Safimet S.p.A</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CID002973</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SAFINA A.S.</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CID002290</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CID001585</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CID001916</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CID001622</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CID004430</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CID001736</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CID001761</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CID001798</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SungEel HiMetal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CID002918</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Super Ligas</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CID002756</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T.C.A S.p.A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CID002580</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Takehara PVD Materials Plant / PVD Materials Division of MITSUI MINING &amp; SMELTING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CID004403</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Taki Chemical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CID001869</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Tanaka Kikinzoku Kogyo K.K.</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CID001875</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CID002544</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TANIOBIS GmbH</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CID002545</w:t>
            </w:r>
          </w:p>
        </w:tc>
      </w:tr>
      <w:tr>
        <w:trPr>
          <w:trHeight w:val="155"/>
        </w:trPr>
        <w:tc>
          <w:tcPr>
            <w:tcW w:w="1720" w:type="dxa"/>
            <w:vAlign w:val="bottom"/>
            <w:tcBorders>
              <w:left w:val="single" w:sz="8" w:color="auto"/>
              <w:right w:val="single" w:sz="8" w:color="auto"/>
            </w:tcBorders>
          </w:tcPr>
          <w:p>
            <w:pPr>
              <w:spacing w:after="0"/>
              <w:rPr>
                <w:sz w:val="13"/>
                <w:szCs w:val="13"/>
                <w:color w:val="auto"/>
              </w:rPr>
            </w:pPr>
          </w:p>
        </w:tc>
        <w:tc>
          <w:tcPr>
            <w:tcW w:w="818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bl>
    <w:p>
      <w:pPr>
        <w:sectPr>
          <w:pgSz w:w="11900" w:h="16900" w:orient="portrait"/>
          <w:cols w:equalWidth="0" w:num="1">
            <w:col w:w="11240"/>
          </w:cols>
          <w:pgMar w:left="320" w:top="140" w:right="339" w:bottom="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Japan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CID002549</w:t>
            </w:r>
          </w:p>
        </w:tc>
      </w:tr>
      <w:tr>
        <w:trPr>
          <w:trHeight w:val="232"/>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CID002550</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Telex Metals</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CID001891</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Thaisarco</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CID001898</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CID002180</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CID003325</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Tokuriki Honten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CID001938</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TOO Tau-Ken-Altyn</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CID002615</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Torecom</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CID001955</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CID003993</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CID001969</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CID001980</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CID001993</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Valcambi S.A.</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CID002003</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WEEEREFINING</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CID003615</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CID002030</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CID002036</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WIELAND Edelmetalle GmbH</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CID002778</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CID002044</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CID004724</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Xiamen Tungsten (H.C.)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CID002320</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Xiamen Tungsten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CID002082</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CID000616</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CID002508</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Yamakin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CID002100</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CID001522</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Yokohama Metal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CID002129</w:t>
            </w:r>
          </w:p>
        </w:tc>
      </w:tr>
      <w:tr>
        <w:trPr>
          <w:trHeight w:val="237"/>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CID002158</w:t>
            </w:r>
          </w:p>
        </w:tc>
      </w:tr>
      <w:tr>
        <w:trPr>
          <w:trHeight w:val="236"/>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CID003397</w:t>
            </w:r>
          </w:p>
        </w:tc>
      </w:tr>
      <w:tr>
        <w:trPr>
          <w:trHeight w:val="236"/>
        </w:trPr>
        <w:tc>
          <w:tcPr>
            <w:tcW w:w="1720" w:type="dxa"/>
            <w:vAlign w:val="bottom"/>
            <w:tcBorders>
              <w:left w:val="single" w:sz="8" w:color="auto"/>
              <w:bottom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134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CID002224</w:t>
            </w:r>
          </w:p>
        </w:tc>
      </w:tr>
      <w:tr>
        <w:trPr>
          <w:trHeight w:val="23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8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Zijin Mining Group Gold Smelting Co. Ltd.</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CID002243</w:t>
            </w:r>
          </w:p>
        </w:tc>
      </w:tr>
      <w:tr>
        <w:trPr>
          <w:trHeight w:val="572"/>
        </w:trPr>
        <w:tc>
          <w:tcPr>
            <w:tcW w:w="172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7260" w:type="dxa"/>
            <w:vAlign w:val="bottom"/>
            <w:gridSpan w:val="4"/>
          </w:tcPr>
          <w:p>
            <w:pPr>
              <w:ind w:left="1220"/>
              <w:spacing w:after="0"/>
              <w:rPr>
                <w:sz w:val="20"/>
                <w:szCs w:val="20"/>
                <w:color w:val="auto"/>
              </w:rPr>
            </w:pPr>
            <w:r>
              <w:rPr>
                <w:rFonts w:ascii="Times New Roman" w:cs="Times New Roman" w:eastAsia="Times New Roman" w:hAnsi="Times New Roman"/>
                <w:sz w:val="18"/>
                <w:szCs w:val="18"/>
                <w:b w:val="1"/>
                <w:bCs w:val="1"/>
                <w:color w:val="auto"/>
              </w:rPr>
              <w:t>Schedule B</w:t>
            </w:r>
          </w:p>
        </w:tc>
      </w:tr>
      <w:tr>
        <w:trPr>
          <w:trHeight w:val="453"/>
        </w:trPr>
        <w:tc>
          <w:tcPr>
            <w:tcW w:w="39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01"/>
        </w:trPr>
        <w:tc>
          <w:tcPr>
            <w:tcW w:w="3980" w:type="dxa"/>
            <w:vAlign w:val="bottom"/>
            <w:tcBorders>
              <w:left w:val="single" w:sz="8" w:color="auto"/>
            </w:tcBorders>
          </w:tcPr>
          <w:p>
            <w:pPr>
              <w:ind w:left="40"/>
              <w:spacing w:after="0" w:line="201" w:lineRule="exact"/>
              <w:rPr>
                <w:sz w:val="20"/>
                <w:szCs w:val="20"/>
                <w:color w:val="auto"/>
              </w:rPr>
            </w:pPr>
            <w:r>
              <w:rPr>
                <w:rFonts w:ascii="Calibri" w:cs="Calibri" w:eastAsia="Calibri" w:hAnsi="Calibri"/>
                <w:sz w:val="18"/>
                <w:szCs w:val="18"/>
                <w:color w:val="auto"/>
              </w:rPr>
              <w:t>ANGOLA</w:t>
            </w:r>
          </w:p>
        </w:tc>
        <w:tc>
          <w:tcPr>
            <w:tcW w:w="122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20"/>
              <w:spacing w:after="0" w:line="201" w:lineRule="exact"/>
              <w:rPr>
                <w:sz w:val="20"/>
                <w:szCs w:val="20"/>
                <w:color w:val="auto"/>
              </w:rPr>
            </w:pPr>
            <w:r>
              <w:rPr>
                <w:rFonts w:ascii="Calibri" w:cs="Calibri" w:eastAsia="Calibri" w:hAnsi="Calibri"/>
                <w:sz w:val="18"/>
                <w:szCs w:val="18"/>
                <w:color w:val="auto"/>
              </w:rPr>
              <w:t>MYANMAR</w:t>
            </w:r>
          </w:p>
        </w:tc>
      </w:tr>
      <w:tr>
        <w:trPr>
          <w:trHeight w:val="215"/>
        </w:trPr>
        <w:tc>
          <w:tcPr>
            <w:tcW w:w="3980" w:type="dxa"/>
            <w:vAlign w:val="bottom"/>
            <w:tcBorders>
              <w:lef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ARGENTINA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5" w:lineRule="exact"/>
              <w:rPr>
                <w:sz w:val="20"/>
                <w:szCs w:val="20"/>
                <w:color w:val="auto"/>
              </w:rPr>
            </w:pPr>
            <w:r>
              <w:rPr>
                <w:rFonts w:ascii="Calibri" w:cs="Calibri" w:eastAsia="Calibri" w:hAnsi="Calibri"/>
                <w:sz w:val="18"/>
                <w:szCs w:val="18"/>
                <w:color w:val="auto"/>
              </w:rPr>
              <w:t>NAMIBIA</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ARMENIA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NETHERLANDS</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AUSTRALIA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NIGER</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AUSTRIA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NIGERIA</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BELARUS</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PAPUA NEW GUINEA</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BELGIUM</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PERU</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BERMUDA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PHILIPPINES</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BOLIVIA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POLAND</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BRAZIL</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PORTUGAL</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BURUNDI</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RUSSIAN FEDERATION</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CAMBODIA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RWANDA</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CANADA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SAUDI ARABIA</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CENTRAL AFRICAN REPUBLIC</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SIERRA LEONE</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CHILE</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SINGAPORE</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CHINA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SLOVAKIA</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COLOMBIA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SOUTH AFRICA</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CONGO</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SOUTH SUDAN</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DEMOCRATIC REPUBLIC OF CONGO</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SPAIN</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COTE D'IVOIRE</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SURINAME</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CZECHIA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SWEDEN</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DJIBOUTI</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SWITZERLAND</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ECUADOR</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TAIWAN</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EGYPT</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TAJIKISTAN</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ESTONIA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TANZANIA</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ETHIOPIA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THAILAND</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FINLAND</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TURKEY</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FRANCE</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UGANDA</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GERMANY</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UNITED ARAB EMIRATES</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GHANA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UNITED KINGDOM</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GUINEA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UNITED STATES OF AMERICA</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GUYANA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UZBEKISTAN</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HONG KONG</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VIETNAM</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HUNGARY</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ZAMBIA</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INDIA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20"/>
              <w:spacing w:after="0" w:line="216" w:lineRule="exact"/>
              <w:rPr>
                <w:sz w:val="20"/>
                <w:szCs w:val="20"/>
                <w:color w:val="auto"/>
              </w:rPr>
            </w:pPr>
            <w:r>
              <w:rPr>
                <w:rFonts w:ascii="Calibri" w:cs="Calibri" w:eastAsia="Calibri" w:hAnsi="Calibri"/>
                <w:sz w:val="18"/>
                <w:szCs w:val="18"/>
                <w:color w:val="auto"/>
              </w:rPr>
              <w:t>ZIMBABWE</w:t>
            </w: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INDONESIA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IRELAND</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ISRAEL</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ITALY</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JAPAN</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KAZAKHSTAN</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KENYA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KOREA, REPUBLIC OF</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KYRGYZSTAN</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LAO PEOPLE'S DEMOCRATIC REPUBLIC</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LUXEMBOURG</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MADAGASCAR</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MALAYSIA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MALI</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MEXICO</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MONGOLIA</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tcBorders>
          </w:tcPr>
          <w:p>
            <w:pPr>
              <w:ind w:left="40"/>
              <w:spacing w:after="0" w:line="216" w:lineRule="exact"/>
              <w:rPr>
                <w:sz w:val="20"/>
                <w:szCs w:val="20"/>
                <w:color w:val="auto"/>
              </w:rPr>
            </w:pPr>
            <w:r>
              <w:rPr>
                <w:rFonts w:ascii="Calibri" w:cs="Calibri" w:eastAsia="Calibri" w:hAnsi="Calibri"/>
                <w:sz w:val="18"/>
                <w:szCs w:val="18"/>
                <w:color w:val="auto"/>
              </w:rPr>
              <w:t>MOZAMBIQUE</w:t>
            </w:r>
          </w:p>
        </w:tc>
        <w:tc>
          <w:tcPr>
            <w:tcW w:w="1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r>
      <w:tr>
        <w:trPr>
          <w:trHeight w:val="37"/>
        </w:trPr>
        <w:tc>
          <w:tcPr>
            <w:tcW w:w="3980" w:type="dxa"/>
            <w:vAlign w:val="bottom"/>
            <w:tcBorders>
              <w:left w:val="single" w:sz="8" w:color="auto"/>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180" w:type="dxa"/>
            <w:vAlign w:val="bottom"/>
            <w:tcBorders>
              <w:bottom w:val="single" w:sz="8" w:color="auto"/>
              <w:right w:val="single" w:sz="8" w:color="auto"/>
            </w:tcBorders>
          </w:tcPr>
          <w:p>
            <w:pPr>
              <w:spacing w:after="0"/>
              <w:rPr>
                <w:sz w:val="3"/>
                <w:szCs w:val="3"/>
                <w:color w:val="auto"/>
              </w:rPr>
            </w:pPr>
          </w:p>
        </w:tc>
      </w:tr>
      <w:tr>
        <w:trPr>
          <w:trHeight w:val="567"/>
        </w:trPr>
        <w:tc>
          <w:tcPr>
            <w:tcW w:w="39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2026-05-29T17:54:57Z</dcterms:created>
  <dcterms:modified xsi:type="dcterms:W3CDTF">2026-05-29T17:54:57Z</dcterms:modified>
</cp:coreProperties>
</file>