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eh260826627_8k.htm"/>
      <w:bookmarkStart w:id="1" w:name="kseh260826627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w:t>
      </w:r>
      <w:bookmarkStart w:id="2" w:name="xdx_90E_edei--DocumentType_c20260831__20"/>
      <w:bookmarkEnd w:id="2"/>
      <w:r>
        <w:rPr>
          <w:rFonts w:ascii="Times New Roman;Times;Serif" w:hAnsi="Times New Roman;Times;Serif"/>
          <w:b/>
          <w:i w:val="false"/>
          <w:caps w:val="false"/>
          <w:smallCaps w:val="false"/>
          <w:sz w:val="20"/>
        </w:rPr>
        <w:t>8-K</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jc w:val="left"/>
        <w:rPr>
          <w:caps w:val="false"/>
          <w:smallCaps w:val="false"/>
        </w:rPr>
      </w:pPr>
      <w:r>
        <w:rPr>
          <w:caps w:val="false"/>
          <w:smallCaps w:val="false"/>
        </w:rPr>
        <w:t> </w:t>
      </w:r>
    </w:p>
    <w:p>
      <w:pPr>
        <w:pStyle w:val="TextBody"/>
        <w:bidi w:val="0"/>
        <w:ind w:left="0" w:right="0" w:firstLine="36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D_edei--DocumentPeriodEndDate_c202"/>
      <w:bookmarkEnd w:id="3"/>
      <w:r>
        <w:rPr>
          <w:rFonts w:ascii="Times New Roman;Times;Serif" w:hAnsi="Times New Roman;Times;Serif"/>
          <w:b w:val="false"/>
          <w:i w:val="false"/>
          <w:caps w:val="false"/>
          <w:smallCaps w:val="false"/>
          <w:sz w:val="20"/>
        </w:rPr>
        <w:t>August 31, 2026</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880"/>
        <w:gridCol w:w="2388"/>
        <w:gridCol w:w="2937"/>
      </w:tblGrid>
      <w:tr>
        <w:trPr/>
        <w:tc>
          <w:tcPr>
            <w:tcW w:w="10205" w:type="dxa"/>
            <w:gridSpan w:val="3"/>
            <w:tcBorders/>
            <w:vAlign w:val="center"/>
          </w:tcPr>
          <w:p>
            <w:pPr>
              <w:pStyle w:val="TableContents"/>
              <w:bidi w:val="0"/>
              <w:spacing w:before="0" w:after="283"/>
              <w:jc w:val="center"/>
              <w:rPr>
                <w:rFonts w:ascii="Times New Roman;Times;Serif" w:hAnsi="Times New Roman;Times;Serif"/>
                <w:b/>
                <w:i w:val="false"/>
                <w:caps w:val="false"/>
                <w:smallCaps w:val="false"/>
                <w:sz w:val="24"/>
              </w:rPr>
            </w:pPr>
            <w:bookmarkStart w:id="4" w:name="xdx_903_edei--EntityRegistrantName_c2026"/>
            <w:bookmarkEnd w:id="4"/>
            <w:r>
              <w:rPr>
                <w:rFonts w:ascii="Times New Roman;Times;Serif" w:hAnsi="Times New Roman;Times;Serif"/>
                <w:b/>
                <w:i w:val="false"/>
                <w:caps w:val="false"/>
                <w:smallCaps w:val="false"/>
                <w:sz w:val="24"/>
              </w:rPr>
              <w:t>RALPH LAUREN CORPORATION</w:t>
            </w:r>
          </w:p>
        </w:tc>
      </w:tr>
      <w:tr>
        <w:trPr/>
        <w:tc>
          <w:tcPr>
            <w:tcW w:w="10205" w:type="dxa"/>
            <w:gridSpan w:val="3"/>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(Exact Name of Registrant as Specified in Its Charter)</w:t>
            </w:r>
          </w:p>
        </w:tc>
      </w:tr>
      <w:tr>
        <w:trPr/>
        <w:tc>
          <w:tcPr>
            <w:tcW w:w="4880" w:type="dxa"/>
            <w:tcBorders/>
            <w:vAlign w:val="center"/>
          </w:tcPr>
          <w:p>
            <w:pPr>
              <w:pStyle w:val="TableContents"/>
              <w:bidi w:val="0"/>
              <w:spacing w:before="0" w:after="283"/>
              <w:jc w:val="center"/>
              <w:rPr/>
            </w:pPr>
            <w:r>
              <w:rPr/>
              <w:t> </w:t>
            </w:r>
          </w:p>
        </w:tc>
        <w:tc>
          <w:tcPr>
            <w:tcW w:w="2388" w:type="dxa"/>
            <w:tcBorders/>
            <w:vAlign w:val="center"/>
          </w:tcPr>
          <w:p>
            <w:pPr>
              <w:pStyle w:val="TableContents"/>
              <w:bidi w:val="0"/>
              <w:spacing w:before="0" w:after="283"/>
              <w:jc w:val="center"/>
              <w:rPr/>
            </w:pPr>
            <w:r>
              <w:rPr/>
              <w:t> </w:t>
            </w:r>
          </w:p>
        </w:tc>
        <w:tc>
          <w:tcPr>
            <w:tcW w:w="2937" w:type="dxa"/>
            <w:tcBorders/>
            <w:vAlign w:val="center"/>
          </w:tcPr>
          <w:p>
            <w:pPr>
              <w:pStyle w:val="TableContents"/>
              <w:bidi w:val="0"/>
              <w:spacing w:before="0" w:after="283"/>
              <w:jc w:val="center"/>
              <w:rPr/>
            </w:pPr>
            <w:r>
              <w:rPr/>
              <w:t> </w:t>
            </w:r>
          </w:p>
        </w:tc>
      </w:tr>
      <w:tr>
        <w:trPr/>
        <w:tc>
          <w:tcPr>
            <w:tcW w:w="4880" w:type="dxa"/>
            <w:tcBorders/>
            <w:vAlign w:val="center"/>
          </w:tcPr>
          <w:p>
            <w:pPr>
              <w:pStyle w:val="TableContents"/>
              <w:bidi w:val="0"/>
              <w:spacing w:before="0" w:after="283"/>
              <w:jc w:val="center"/>
              <w:rPr>
                <w:rFonts w:ascii="Times New Roman;Times;Serif" w:hAnsi="Times New Roman;Times;Serif"/>
                <w:b/>
              </w:rPr>
            </w:pPr>
            <w:bookmarkStart w:id="5" w:name="xdx_90C_edei--EntityIncorporationStateCo"/>
            <w:bookmarkEnd w:id="5"/>
            <w:r>
              <w:rPr>
                <w:rFonts w:ascii="Times New Roman;Times;Serif" w:hAnsi="Times New Roman;Times;Serif"/>
                <w:b/>
              </w:rPr>
              <w:t>Delaware</w:t>
            </w:r>
          </w:p>
        </w:tc>
        <w:tc>
          <w:tcPr>
            <w:tcW w:w="2388" w:type="dxa"/>
            <w:tcBorders/>
            <w:vAlign w:val="center"/>
          </w:tcPr>
          <w:p>
            <w:pPr>
              <w:pStyle w:val="TableContents"/>
              <w:bidi w:val="0"/>
              <w:spacing w:before="0" w:after="283"/>
              <w:jc w:val="center"/>
              <w:rPr>
                <w:rFonts w:ascii="Times New Roman;Times;Serif" w:hAnsi="Times New Roman;Times;Serif"/>
                <w:b/>
              </w:rPr>
            </w:pPr>
            <w:bookmarkStart w:id="6" w:name="xdx_909_edei--EntityFileNumber_c20260831"/>
            <w:bookmarkEnd w:id="6"/>
            <w:r>
              <w:rPr>
                <w:rFonts w:ascii="Times New Roman;Times;Serif" w:hAnsi="Times New Roman;Times;Serif"/>
                <w:b/>
              </w:rPr>
              <w:t>001-13057</w:t>
            </w:r>
          </w:p>
        </w:tc>
        <w:tc>
          <w:tcPr>
            <w:tcW w:w="2937" w:type="dxa"/>
            <w:tcBorders/>
            <w:vAlign w:val="center"/>
          </w:tcPr>
          <w:p>
            <w:pPr>
              <w:pStyle w:val="TableContents"/>
              <w:bidi w:val="0"/>
              <w:spacing w:before="0" w:after="283"/>
              <w:jc w:val="center"/>
              <w:rPr>
                <w:rFonts w:ascii="Times New Roman;Times;Serif" w:hAnsi="Times New Roman;Times;Serif"/>
                <w:b/>
              </w:rPr>
            </w:pPr>
            <w:bookmarkStart w:id="7" w:name="xdx_900_edei--EntityTaxIdentificationNum"/>
            <w:bookmarkEnd w:id="7"/>
            <w:r>
              <w:rPr>
                <w:rFonts w:ascii="Times New Roman;Times;Serif" w:hAnsi="Times New Roman;Times;Serif"/>
                <w:b/>
              </w:rPr>
              <w:t>13-2622036</w:t>
            </w:r>
          </w:p>
        </w:tc>
      </w:tr>
      <w:tr>
        <w:trPr/>
        <w:tc>
          <w:tcPr>
            <w:tcW w:w="4880"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(State or other jurisdiction of incorporation or organization)</w:t>
            </w:r>
          </w:p>
        </w:tc>
        <w:tc>
          <w:tcPr>
            <w:tcW w:w="2388"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(Commission File Number)</w:t>
            </w:r>
          </w:p>
        </w:tc>
        <w:tc>
          <w:tcPr>
            <w:tcW w:w="2937"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(IRS Employer Identification No.)</w:t>
            </w:r>
          </w:p>
        </w:tc>
      </w:tr>
      <w:tr>
        <w:trPr/>
        <w:tc>
          <w:tcPr>
            <w:tcW w:w="4880" w:type="dxa"/>
            <w:tcBorders/>
            <w:vAlign w:val="center"/>
          </w:tcPr>
          <w:p>
            <w:pPr>
              <w:pStyle w:val="TableContents"/>
              <w:bidi w:val="0"/>
              <w:spacing w:before="0" w:after="283"/>
              <w:jc w:val="center"/>
              <w:rPr/>
            </w:pPr>
            <w:r>
              <w:rPr/>
              <w:t> </w:t>
            </w:r>
          </w:p>
        </w:tc>
        <w:tc>
          <w:tcPr>
            <w:tcW w:w="2388" w:type="dxa"/>
            <w:tcBorders/>
            <w:vAlign w:val="center"/>
          </w:tcPr>
          <w:p>
            <w:pPr>
              <w:pStyle w:val="TableContents"/>
              <w:bidi w:val="0"/>
              <w:spacing w:before="0" w:after="283"/>
              <w:jc w:val="center"/>
              <w:rPr/>
            </w:pPr>
            <w:r>
              <w:rPr/>
              <w:t> </w:t>
            </w:r>
          </w:p>
        </w:tc>
        <w:tc>
          <w:tcPr>
            <w:tcW w:w="2937" w:type="dxa"/>
            <w:tcBorders/>
            <w:vAlign w:val="center"/>
          </w:tcPr>
          <w:p>
            <w:pPr>
              <w:pStyle w:val="TableContents"/>
              <w:bidi w:val="0"/>
              <w:spacing w:before="0" w:after="283"/>
              <w:jc w:val="center"/>
              <w:rPr/>
            </w:pPr>
            <w:r>
              <w:rPr/>
              <w:t> </w:t>
            </w:r>
          </w:p>
        </w:tc>
      </w:tr>
      <w:tr>
        <w:trPr/>
        <w:tc>
          <w:tcPr>
            <w:tcW w:w="4880" w:type="dxa"/>
            <w:tcBorders/>
            <w:vAlign w:val="center"/>
          </w:tcPr>
          <w:p>
            <w:pPr>
              <w:pStyle w:val="TableContents"/>
              <w:bidi w:val="0"/>
              <w:jc w:val="center"/>
              <w:rPr>
                <w:rFonts w:ascii="Times New Roman;Times;Serif" w:hAnsi="Times New Roman;Times;Serif"/>
                <w:b/>
                <w:i w:val="false"/>
                <w:caps w:val="false"/>
                <w:smallCaps w:val="false"/>
                <w:sz w:val="20"/>
              </w:rPr>
            </w:pPr>
            <w:bookmarkStart w:id="8" w:name="xdx_902_edei--EntityAddressAddressLine1_"/>
            <w:bookmarkEnd w:id="8"/>
            <w:r>
              <w:rPr>
                <w:rFonts w:ascii="Times New Roman;Times;Serif" w:hAnsi="Times New Roman;Times;Serif"/>
                <w:b/>
                <w:i w:val="false"/>
                <w:caps w:val="false"/>
                <w:smallCaps w:val="false"/>
                <w:sz w:val="20"/>
              </w:rPr>
              <w:t xml:space="preserve">650 Madison Avenue, </w:t>
            </w:r>
          </w:p>
          <w:p>
            <w:pPr>
              <w:pStyle w:val="TableContents"/>
              <w:bidi w:val="0"/>
              <w:spacing w:before="0" w:after="283"/>
              <w:jc w:val="center"/>
              <w:rPr>
                <w:rFonts w:ascii="Times New Roman;Times;Serif" w:hAnsi="Times New Roman;Times;Serif"/>
                <w:b/>
                <w:i w:val="false"/>
                <w:caps w:val="false"/>
                <w:smallCaps w:val="false"/>
                <w:sz w:val="20"/>
              </w:rPr>
            </w:pPr>
            <w:bookmarkStart w:id="9" w:name="xdx_901_edei--EntityAddressCityOrTown_c2"/>
            <w:bookmarkEnd w:id="9"/>
            <w:r>
              <w:rPr>
                <w:rFonts w:ascii="Times New Roman;Times;Serif" w:hAnsi="Times New Roman;Times;Serif"/>
                <w:b/>
                <w:i w:val="false"/>
                <w:caps w:val="false"/>
                <w:smallCaps w:val="false"/>
                <w:sz w:val="20"/>
              </w:rPr>
              <w:t xml:space="preserve">New York, </w:t>
            </w:r>
            <w:bookmarkStart w:id="10" w:name="xdx_90E_edei--EntityAddressStateOrProvin"/>
            <w:bookmarkEnd w:id="10"/>
            <w:r>
              <w:rPr>
                <w:rFonts w:ascii="Times New Roman;Times;Serif" w:hAnsi="Times New Roman;Times;Serif"/>
                <w:b/>
                <w:i w:val="false"/>
                <w:caps w:val="false"/>
                <w:smallCaps w:val="false"/>
                <w:sz w:val="20"/>
              </w:rPr>
              <w:t>New York</w:t>
            </w:r>
          </w:p>
        </w:tc>
        <w:tc>
          <w:tcPr>
            <w:tcW w:w="2388" w:type="dxa"/>
            <w:tcBorders/>
            <w:vAlign w:val="center"/>
          </w:tcPr>
          <w:p>
            <w:pPr>
              <w:pStyle w:val="TableContents"/>
              <w:bidi w:val="0"/>
              <w:spacing w:before="0" w:after="283"/>
              <w:jc w:val="center"/>
              <w:rPr/>
            </w:pPr>
            <w:r>
              <w:rPr/>
              <w:t> </w:t>
            </w:r>
          </w:p>
        </w:tc>
        <w:tc>
          <w:tcPr>
            <w:tcW w:w="2937" w:type="dxa"/>
            <w:tcBorders/>
            <w:vAlign w:val="center"/>
          </w:tcPr>
          <w:p>
            <w:pPr>
              <w:pStyle w:val="TableContents"/>
              <w:bidi w:val="0"/>
              <w:spacing w:before="0" w:after="283"/>
              <w:jc w:val="center"/>
              <w:rPr>
                <w:rFonts w:ascii="Times New Roman;Times;Serif" w:hAnsi="Times New Roman;Times;Serif"/>
                <w:b/>
              </w:rPr>
            </w:pPr>
            <w:bookmarkStart w:id="11" w:name="xdx_901_edei--EntityAddressPostalZipCode"/>
            <w:bookmarkEnd w:id="11"/>
            <w:r>
              <w:rPr>
                <w:rFonts w:ascii="Times New Roman;Times;Serif" w:hAnsi="Times New Roman;Times;Serif"/>
                <w:b/>
              </w:rPr>
              <w:t>10022</w:t>
            </w:r>
          </w:p>
        </w:tc>
      </w:tr>
      <w:tr>
        <w:trPr/>
        <w:tc>
          <w:tcPr>
            <w:tcW w:w="4880"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(Address of principal executive offices)</w:t>
            </w:r>
          </w:p>
        </w:tc>
        <w:tc>
          <w:tcPr>
            <w:tcW w:w="2388" w:type="dxa"/>
            <w:tcBorders/>
            <w:vAlign w:val="center"/>
          </w:tcPr>
          <w:p>
            <w:pPr>
              <w:pStyle w:val="TableContents"/>
              <w:bidi w:val="0"/>
              <w:spacing w:before="0" w:after="283"/>
              <w:jc w:val="center"/>
              <w:rPr/>
            </w:pPr>
            <w:r>
              <w:rPr/>
              <w:t> </w:t>
            </w:r>
          </w:p>
        </w:tc>
        <w:tc>
          <w:tcPr>
            <w:tcW w:w="2937"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(Zip Code)</w:t>
            </w:r>
          </w:p>
        </w:tc>
      </w:tr>
      <w:tr>
        <w:trPr/>
        <w:tc>
          <w:tcPr>
            <w:tcW w:w="4880" w:type="dxa"/>
            <w:tcBorders/>
            <w:vAlign w:val="center"/>
          </w:tcPr>
          <w:p>
            <w:pPr>
              <w:pStyle w:val="TableContents"/>
              <w:bidi w:val="0"/>
              <w:spacing w:before="0" w:after="283"/>
              <w:jc w:val="center"/>
              <w:rPr/>
            </w:pPr>
            <w:r>
              <w:rPr/>
              <w:t> </w:t>
            </w:r>
          </w:p>
        </w:tc>
        <w:tc>
          <w:tcPr>
            <w:tcW w:w="2388" w:type="dxa"/>
            <w:tcBorders/>
            <w:vAlign w:val="center"/>
          </w:tcPr>
          <w:p>
            <w:pPr>
              <w:pStyle w:val="TableContents"/>
              <w:bidi w:val="0"/>
              <w:spacing w:before="0" w:after="283"/>
              <w:jc w:val="center"/>
              <w:rPr/>
            </w:pPr>
            <w:r>
              <w:rPr/>
              <w:t> </w:t>
            </w:r>
          </w:p>
        </w:tc>
        <w:tc>
          <w:tcPr>
            <w:tcW w:w="2937" w:type="dxa"/>
            <w:tcBorders/>
            <w:vAlign w:val="center"/>
          </w:tcPr>
          <w:p>
            <w:pPr>
              <w:pStyle w:val="TableContents"/>
              <w:bidi w:val="0"/>
              <w:spacing w:before="0" w:after="283"/>
              <w:jc w:val="center"/>
              <w:rPr/>
            </w:pPr>
            <w:r>
              <w:rPr/>
              <w:t> </w:t>
            </w:r>
          </w:p>
        </w:tc>
      </w:tr>
      <w:tr>
        <w:trPr/>
        <w:tc>
          <w:tcPr>
            <w:tcW w:w="10205" w:type="dxa"/>
            <w:gridSpan w:val="3"/>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t>
            </w:r>
            <w:bookmarkStart w:id="12" w:name="xdx_907_edei--CityAreaCode_c20260831__20"/>
            <w:bookmarkEnd w:id="12"/>
            <w:r>
              <w:rPr>
                <w:rFonts w:ascii="Times New Roman;Times;Serif" w:hAnsi="Times New Roman;Times;Serif"/>
                <w:b/>
              </w:rPr>
              <w:t xml:space="preserve">212) </w:t>
            </w:r>
            <w:bookmarkStart w:id="13" w:name="xdx_904_edei--LocalPhoneNumber_c20260831"/>
            <w:bookmarkEnd w:id="13"/>
            <w:r>
              <w:rPr>
                <w:rFonts w:ascii="Times New Roman;Times;Serif" w:hAnsi="Times New Roman;Times;Serif"/>
                <w:b/>
              </w:rPr>
              <w:t>318-7000</w:t>
            </w:r>
          </w:p>
        </w:tc>
      </w:tr>
      <w:tr>
        <w:trPr/>
        <w:tc>
          <w:tcPr>
            <w:tcW w:w="10205" w:type="dxa"/>
            <w:gridSpan w:val="3"/>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(Registrant’s telephone number, including area code)</w:t>
            </w:r>
          </w:p>
        </w:tc>
      </w:tr>
      <w:tr>
        <w:trPr/>
        <w:tc>
          <w:tcPr>
            <w:tcW w:w="4880" w:type="dxa"/>
            <w:tcBorders/>
            <w:vAlign w:val="center"/>
          </w:tcPr>
          <w:p>
            <w:pPr>
              <w:pStyle w:val="TableContents"/>
              <w:bidi w:val="0"/>
              <w:spacing w:before="0" w:after="283"/>
              <w:jc w:val="center"/>
              <w:rPr/>
            </w:pPr>
            <w:r>
              <w:rPr/>
              <w:t> </w:t>
            </w:r>
          </w:p>
        </w:tc>
        <w:tc>
          <w:tcPr>
            <w:tcW w:w="2388" w:type="dxa"/>
            <w:tcBorders/>
            <w:vAlign w:val="center"/>
          </w:tcPr>
          <w:p>
            <w:pPr>
              <w:pStyle w:val="TableContents"/>
              <w:bidi w:val="0"/>
              <w:spacing w:before="0" w:after="283"/>
              <w:jc w:val="center"/>
              <w:rPr/>
            </w:pPr>
            <w:r>
              <w:rPr/>
              <w:t> </w:t>
            </w:r>
          </w:p>
        </w:tc>
        <w:tc>
          <w:tcPr>
            <w:tcW w:w="2937" w:type="dxa"/>
            <w:tcBorders/>
            <w:vAlign w:val="center"/>
          </w:tcPr>
          <w:p>
            <w:pPr>
              <w:pStyle w:val="TableContents"/>
              <w:bidi w:val="0"/>
              <w:spacing w:before="0" w:after="283"/>
              <w:jc w:val="center"/>
              <w:rPr/>
            </w:pPr>
            <w:r>
              <w:rPr/>
              <w:t> </w:t>
            </w:r>
          </w:p>
        </w:tc>
      </w:tr>
      <w:tr>
        <w:trPr/>
        <w:tc>
          <w:tcPr>
            <w:tcW w:w="10205" w:type="dxa"/>
            <w:gridSpan w:val="3"/>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NOT APPLICABLE</w:t>
            </w:r>
          </w:p>
        </w:tc>
      </w:tr>
      <w:tr>
        <w:trPr/>
        <w:tc>
          <w:tcPr>
            <w:tcW w:w="10205" w:type="dxa"/>
            <w:gridSpan w:val="3"/>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(Former name or former address, if changed since last report.)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caps w:val="false"/>
                <w:smallCaps w:val="false"/>
              </w:rPr>
            </w:pPr>
            <w:bookmarkStart w:id="14" w:name="xdx_903_edei--WrittenCommunications_c202"/>
            <w:bookmarkEnd w:id="14"/>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bookmarkStart w:id="15" w:name="xdx_90E_edei--SolicitingMaterial_c202608"/>
            <w:bookmarkEnd w:id="15"/>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bookmarkStart w:id="16" w:name="xdx_904_edei--PreCommencementTenderOffer"/>
            <w:bookmarkEnd w:id="16"/>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bookmarkStart w:id="17" w:name="xdx_903_edei--PreCommencementIssuerTende"/>
            <w:bookmarkEnd w:id="17"/>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Pre-commencement communications pursuant to Rule 13e-4(c) under the Exchange Act (17 CFR 240.13e-4(c))</w:t>
            </w:r>
          </w:p>
        </w:tc>
      </w:tr>
    </w:tbl>
    <w:p>
      <w:pPr>
        <w:pStyle w:val="TextBody"/>
        <w:bidi w:val="0"/>
        <w:spacing w:before="200" w:after="200"/>
        <w:ind w:left="200" w:right="20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tbl>
      <w:tblPr>
        <w:tblW w:w="8190" w:type="dxa"/>
        <w:jc w:val="left"/>
        <w:tblInd w:w="0" w:type="dxa"/>
        <w:tblLayout w:type="fixed"/>
        <w:tblCellMar>
          <w:top w:w="0" w:type="dxa"/>
          <w:left w:w="0" w:type="dxa"/>
          <w:bottom w:w="28" w:type="dxa"/>
          <w:right w:w="0" w:type="dxa"/>
        </w:tblCellMar>
      </w:tblPr>
      <w:tblGrid>
        <w:gridCol w:w="3800"/>
        <w:gridCol w:w="60"/>
        <w:gridCol w:w="1610"/>
        <w:gridCol w:w="60"/>
        <w:gridCol w:w="2660"/>
      </w:tblGrid>
      <w:tr>
        <w:trPr/>
        <w:tc>
          <w:tcPr>
            <w:tcW w:w="380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266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w:t>
              <w:br/>
              <w:t>on which Registered</w:t>
            </w:r>
          </w:p>
        </w:tc>
      </w:tr>
      <w:tr>
        <w:trPr/>
        <w:tc>
          <w:tcPr>
            <w:tcW w:w="3800" w:type="dxa"/>
            <w:tcBorders/>
            <w:tcMar>
              <w:bottom w:w="0" w:type="dxa"/>
            </w:tcMar>
            <w:vAlign w:val="center"/>
          </w:tcPr>
          <w:p>
            <w:pPr>
              <w:pStyle w:val="TableContents"/>
              <w:bidi w:val="0"/>
              <w:spacing w:before="0" w:after="283"/>
              <w:jc w:val="center"/>
              <w:rPr>
                <w:rFonts w:ascii="Times New Roman;Times;Serif" w:hAnsi="Times New Roman;Times;Serif"/>
              </w:rPr>
            </w:pPr>
            <w:bookmarkStart w:id="18" w:name="xdx_90D_edei--Security12bTitle_c20260831"/>
            <w:bookmarkEnd w:id="18"/>
            <w:r>
              <w:rPr>
                <w:rFonts w:ascii="Times New Roman;Times;Serif" w:hAnsi="Times New Roman;Times;Serif"/>
              </w:rPr>
              <w:t>Class A Common Stock, $.01 par value</w:t>
            </w:r>
          </w:p>
        </w:tc>
        <w:tc>
          <w:tcPr>
            <w:tcW w:w="60" w:type="dxa"/>
            <w:tcBorders/>
            <w:tcMar>
              <w:bottom w:w="0" w:type="dxa"/>
            </w:tcMar>
            <w:vAlign w:val="center"/>
          </w:tcPr>
          <w:p>
            <w:pPr>
              <w:pStyle w:val="TableContents"/>
              <w:bidi w:val="0"/>
              <w:spacing w:before="0" w:after="283"/>
              <w:jc w:val="left"/>
              <w:rPr/>
            </w:pPr>
            <w:r>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rPr>
            </w:pPr>
            <w:bookmarkStart w:id="19" w:name="xdx_907_edei--TradingSymbol_c20260831__2"/>
            <w:bookmarkEnd w:id="19"/>
            <w:r>
              <w:rPr>
                <w:rFonts w:ascii="Times New Roman;Times;Serif" w:hAnsi="Times New Roman;Times;Serif"/>
              </w:rPr>
              <w:t>RL</w:t>
            </w:r>
          </w:p>
        </w:tc>
        <w:tc>
          <w:tcPr>
            <w:tcW w:w="60" w:type="dxa"/>
            <w:tcBorders/>
            <w:tcMar>
              <w:bottom w:w="0" w:type="dxa"/>
            </w:tcMar>
            <w:vAlign w:val="center"/>
          </w:tcPr>
          <w:p>
            <w:pPr>
              <w:pStyle w:val="TableContents"/>
              <w:bidi w:val="0"/>
              <w:spacing w:before="0" w:after="283"/>
              <w:jc w:val="left"/>
              <w:rPr/>
            </w:pPr>
            <w:r>
              <w:rPr/>
              <w:t> </w:t>
            </w:r>
          </w:p>
        </w:tc>
        <w:tc>
          <w:tcPr>
            <w:tcW w:w="2660" w:type="dxa"/>
            <w:tcBorders/>
            <w:tcMar>
              <w:bottom w:w="0" w:type="dxa"/>
            </w:tcMar>
            <w:vAlign w:val="center"/>
          </w:tcPr>
          <w:p>
            <w:pPr>
              <w:pStyle w:val="TableContents"/>
              <w:bidi w:val="0"/>
              <w:spacing w:before="0" w:after="283"/>
              <w:jc w:val="center"/>
              <w:rPr>
                <w:rFonts w:ascii="Times New Roman;Times;Serif" w:hAnsi="Times New Roman;Times;Serif"/>
              </w:rPr>
            </w:pPr>
            <w:bookmarkStart w:id="20" w:name="xdx_907_edei--SecurityExchangeName_c2026"/>
            <w:bookmarkEnd w:id="20"/>
            <w:r>
              <w:rPr>
                <w:rFonts w:ascii="Times New Roman;Times;Serif" w:hAnsi="Times New Roman;Times;Serif"/>
              </w:rPr>
              <w:t>New York Stock Exchange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21" w:name="xdx_90E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83"/>
        <w:gridCol w:w="9422"/>
      </w:tblGrid>
      <w:tr>
        <w:trPr/>
        <w:tc>
          <w:tcPr>
            <w:tcW w:w="783"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w:t>
            </w:r>
          </w:p>
        </w:tc>
        <w:tc>
          <w:tcPr>
            <w:tcW w:w="9422"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DEPARTURE OF DIRECTORS OR CERTAIN OFFICERS; ELECTION OF DIRECTORS; APPOINTMENT OF CERTAIN OFFICERS; COMPENSATORY ARRANGEMENTS OF CERTAIN OFFICERS.</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3, 2026, Ralph Lauren Corporation (the “Company”) announced the appointment of Halide Alagoz, currently Chief Product &amp; Merchandising Officer, to the role of Chief Operating &amp; Product Officer of the Company as part of a broader expansion of roles for key enterprise leaders. Ms. Alagoz’s appointment will become effective on November 29, 2026 following the retirement of Robert (Bob) Ranftl from his position as Chief Operating Officer, of which he notified the Company on August 31, 2026.</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Alagoz, age 54, has served as the Chief Product &amp; Merchandising Officer of the Company since March 2020. Prior to that role, Ms. Alagoz held the position of Chief Supply Chain and Sustainability Officer and previously served as Corporate SVP Sourcing &amp; Manufacturing at the Company. Before she joined the Company, she served in various roles at H&amp;M over an 18-year tenure, most recently as Head of Purchasing. Ms. Alagoz graduated from Istanbul Technical University with a Bachelor of Science in Industrial Engineering and holds a Master's Degree in Engineering Management, also from Istanbul Technical University.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as described herein, there have been no arrangements, understandings or family relationships between the Company and Ms. Alagoz reportable under Item 401(b) or (d) of Regulation S-K, and there have been no transactions with respect to Ms. Alagoz reportable under Item 404(a) of Regulation S-K.</w:t>
      </w:r>
    </w:p>
    <w:p>
      <w:pPr>
        <w:pStyle w:val="TextBody"/>
        <w:bidi w:val="0"/>
        <w:jc w:val="left"/>
        <w:rPr>
          <w:caps w:val="false"/>
          <w:smallCaps w:val="false"/>
        </w:rPr>
      </w:pPr>
      <w:r>
        <w:rPr>
          <w:caps w:val="false"/>
          <w:smallCaps w:val="false"/>
        </w:rPr>
        <w:t> </w:t>
      </w:r>
    </w:p>
    <w:tbl>
      <w:tblPr>
        <w:tblW w:w="4000" w:type="dxa"/>
        <w:jc w:val="left"/>
        <w:tblInd w:w="0" w:type="dxa"/>
        <w:tblLayout w:type="fixed"/>
        <w:tblCellMar>
          <w:top w:w="0" w:type="dxa"/>
          <w:left w:w="0" w:type="dxa"/>
          <w:bottom w:w="0" w:type="dxa"/>
          <w:right w:w="0" w:type="dxa"/>
        </w:tblCellMar>
      </w:tblPr>
      <w:tblGrid>
        <w:gridCol w:w="1010"/>
        <w:gridCol w:w="2990"/>
      </w:tblGrid>
      <w:tr>
        <w:trPr/>
        <w:tc>
          <w:tcPr>
            <w:tcW w:w="101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w:t>
            </w:r>
          </w:p>
        </w:tc>
        <w:tc>
          <w:tcPr>
            <w:tcW w:w="29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 FD DISCLOSURE.</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3, 2026, the Company issued a press release announcing Ms. Alagoz’s appointment and Mr. Ranftl’s retirement, together with the expanded roles for certain additional key enterprise leaders. A copy of the press release is attached hereto as Exhibit 99.1 and incorporated by reference herein.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Item 7.01, including Exhibit 99.1, is being furnished and shall not be deemed to be “filed” for the purposes of Section 18 of the Securities Exchange Act of 1934, as amended (the “Exchange Act”), or otherwise subject to the liability of such section, nor shall such information be deemed incorporated by reference in any filing under the Securities Act of 1933, as amended, or the Exchange Act, regardless of the general incorporation language of such filing, except as shall be expressly set forth by specific reference in such filing.</w:t>
      </w:r>
    </w:p>
    <w:p>
      <w:pPr>
        <w:pStyle w:val="TextBody"/>
        <w:bidi w:val="0"/>
        <w:jc w:val="left"/>
        <w:rPr>
          <w:caps w:val="false"/>
          <w:smallCaps w:val="false"/>
        </w:rPr>
      </w:pPr>
      <w:r>
        <w:rPr>
          <w:caps w:val="false"/>
          <w:smallCaps w:val="false"/>
        </w:rPr>
        <w:t> </w:t>
      </w:r>
    </w:p>
    <w:tbl>
      <w:tblPr>
        <w:tblW w:w="4990" w:type="dxa"/>
        <w:jc w:val="left"/>
        <w:tblInd w:w="0" w:type="dxa"/>
        <w:tblLayout w:type="fixed"/>
        <w:tblCellMar>
          <w:top w:w="0" w:type="dxa"/>
          <w:left w:w="0" w:type="dxa"/>
          <w:bottom w:w="0" w:type="dxa"/>
          <w:right w:w="0" w:type="dxa"/>
        </w:tblCellMar>
      </w:tblPr>
      <w:tblGrid>
        <w:gridCol w:w="1010"/>
        <w:gridCol w:w="3980"/>
      </w:tblGrid>
      <w:tr>
        <w:trPr/>
        <w:tc>
          <w:tcPr>
            <w:tcW w:w="101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w:t>
            </w:r>
          </w:p>
        </w:tc>
        <w:tc>
          <w:tcPr>
            <w:tcW w:w="39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STATEMENTS AND EXHIBITS.</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 </w:t>
      </w:r>
      <w:r>
        <w:rPr>
          <w:rFonts w:ascii="Times New Roman;Times;Serif" w:hAnsi="Times New Roman;Times;Serif"/>
          <w:b/>
          <w:i/>
          <w:caps w:val="false"/>
          <w:smallCaps w:val="false"/>
          <w:sz w:val="20"/>
        </w:rPr>
        <w:t>Exhibits</w:t>
      </w:r>
      <w:r>
        <w:rPr>
          <w:rFonts w:ascii="Times New Roman;Times;Serif" w:hAnsi="Times New Roman;Times;Serif"/>
          <w:b/>
          <w:i w:val="false"/>
          <w:caps w:val="false"/>
          <w:smallCaps w:val="false"/>
          <w:sz w:val="20"/>
        </w:rPr>
        <w:t>.</w:t>
      </w:r>
    </w:p>
    <w:p>
      <w:pPr>
        <w:pStyle w:val="TextBody"/>
        <w:bidi w:val="0"/>
        <w:jc w:val="left"/>
        <w:rPr>
          <w:caps w:val="false"/>
          <w:smallCaps w:val="false"/>
        </w:rPr>
      </w:pPr>
      <w:r>
        <w:rPr>
          <w:caps w:val="false"/>
          <w:smallCaps w:val="false"/>
        </w:rPr>
        <w:t> </w:t>
      </w:r>
    </w:p>
    <w:tbl>
      <w:tblPr>
        <w:tblW w:w="7990" w:type="dxa"/>
        <w:jc w:val="left"/>
        <w:tblInd w:w="0" w:type="dxa"/>
        <w:tblLayout w:type="fixed"/>
        <w:tblCellMar>
          <w:top w:w="0" w:type="dxa"/>
          <w:left w:w="0" w:type="dxa"/>
          <w:bottom w:w="28" w:type="dxa"/>
          <w:right w:w="0" w:type="dxa"/>
        </w:tblCellMar>
      </w:tblPr>
      <w:tblGrid>
        <w:gridCol w:w="1400"/>
        <w:gridCol w:w="60"/>
        <w:gridCol w:w="6530"/>
      </w:tblGrid>
      <w:tr>
        <w:trPr/>
        <w:tc>
          <w:tcPr>
            <w:tcW w:w="140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Number</w:t>
            </w:r>
          </w:p>
        </w:tc>
        <w:tc>
          <w:tcPr>
            <w:tcW w:w="60" w:type="dxa"/>
            <w:tcBorders/>
            <w:tcMar>
              <w:bottom w:w="0" w:type="dxa"/>
            </w:tcMar>
            <w:vAlign w:val="center"/>
          </w:tcPr>
          <w:p>
            <w:pPr>
              <w:pStyle w:val="TableContents"/>
              <w:bidi w:val="0"/>
              <w:spacing w:before="0" w:after="283"/>
              <w:jc w:val="left"/>
              <w:rPr/>
            </w:pPr>
            <w:r>
              <w:rPr/>
              <w:t> </w:t>
            </w:r>
          </w:p>
        </w:tc>
        <w:tc>
          <w:tcPr>
            <w:tcW w:w="653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140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tcMar>
              <w:bottom w:w="0" w:type="dxa"/>
            </w:tcMar>
            <w:vAlign w:val="center"/>
          </w:tcPr>
          <w:p>
            <w:pPr>
              <w:pStyle w:val="TableContents"/>
              <w:bidi w:val="0"/>
              <w:spacing w:before="0" w:after="283"/>
              <w:jc w:val="left"/>
              <w:rPr/>
            </w:pPr>
            <w:r>
              <w:rPr/>
              <w:t> </w:t>
            </w:r>
          </w:p>
        </w:tc>
        <w:tc>
          <w:tcPr>
            <w:tcW w:w="6530" w:type="dxa"/>
            <w:tcBorders/>
            <w:tcMar>
              <w:bottom w:w="0" w:type="dxa"/>
            </w:tcMar>
            <w:vAlign w:val="center"/>
          </w:tcPr>
          <w:p>
            <w:pPr>
              <w:pStyle w:val="TableContents"/>
              <w:bidi w:val="0"/>
              <w:spacing w:before="0" w:after="283"/>
              <w:jc w:val="left"/>
              <w:rPr/>
            </w:pPr>
            <w:hyperlink w:anchor="eh260826627_ex9901.htm">
              <w:r>
                <w:rPr>
                  <w:rStyle w:val="InternetLink"/>
                  <w:rFonts w:ascii="Times New Roman;Times;Serif" w:hAnsi="Times New Roman;Times;Serif"/>
                  <w:b w:val="false"/>
                  <w:i w:val="false"/>
                  <w:caps w:val="false"/>
                  <w:smallCaps w:val="false"/>
                  <w:sz w:val="20"/>
                </w:rPr>
                <w:t>Press Release, dated September 3, 2026.</w:t>
              </w:r>
            </w:hyperlink>
          </w:p>
        </w:tc>
      </w:tr>
      <w:tr>
        <w:trPr/>
        <w:tc>
          <w:tcPr>
            <w:tcW w:w="140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pPr>
            <w:r>
              <w:rPr/>
              <w:t> </w:t>
            </w:r>
          </w:p>
        </w:tc>
        <w:tc>
          <w:tcPr>
            <w:tcW w:w="653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ind w:left="0" w:right="0" w:firstLine="540"/>
        <w:jc w:val="left"/>
        <w:rPr>
          <w:caps w:val="false"/>
          <w:smallCaps w:val="false"/>
        </w:rPr>
      </w:pPr>
      <w:r>
        <w:rPr>
          <w:caps w:val="false"/>
          <w:smallCaps w:val="false"/>
        </w:rPr>
        <w:t> </w:t>
      </w:r>
    </w:p>
    <w:tbl>
      <w:tblPr>
        <w:tblW w:w="5153" w:type="dxa"/>
        <w:jc w:val="left"/>
        <w:tblInd w:w="0" w:type="dxa"/>
        <w:tblLayout w:type="fixed"/>
        <w:tblCellMar>
          <w:top w:w="0" w:type="dxa"/>
          <w:left w:w="0" w:type="dxa"/>
          <w:bottom w:w="0" w:type="dxa"/>
          <w:right w:w="0" w:type="dxa"/>
        </w:tblCellMar>
      </w:tblPr>
      <w:tblGrid>
        <w:gridCol w:w="2030"/>
        <w:gridCol w:w="342"/>
        <w:gridCol w:w="695"/>
        <w:gridCol w:w="2011"/>
        <w:gridCol w:w="75"/>
      </w:tblGrid>
      <w:tr>
        <w:trPr/>
        <w:tc>
          <w:tcPr>
            <w:tcW w:w="2030" w:type="dxa"/>
            <w:tcBorders/>
            <w:vAlign w:val="center"/>
          </w:tcPr>
          <w:p>
            <w:pPr>
              <w:pStyle w:val="TableContents"/>
              <w:bidi w:val="0"/>
              <w:spacing w:before="0" w:after="283"/>
              <w:jc w:val="left"/>
              <w:rPr/>
            </w:pPr>
            <w:r>
              <w:rPr/>
              <w:t> </w:t>
            </w:r>
          </w:p>
        </w:tc>
        <w:tc>
          <w:tcPr>
            <w:tcW w:w="3048"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RALPH LAUREN CORPORATION</w:t>
            </w:r>
          </w:p>
        </w:tc>
        <w:tc>
          <w:tcPr>
            <w:tcW w:w="75" w:type="dxa"/>
            <w:tcBorders/>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left"/>
              <w:rPr/>
            </w:pPr>
            <w:r>
              <w:rPr/>
              <w:t> </w:t>
            </w:r>
          </w:p>
        </w:tc>
        <w:tc>
          <w:tcPr>
            <w:tcW w:w="342"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c>
          <w:tcPr>
            <w:tcW w:w="2011"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left"/>
              <w:rPr/>
            </w:pPr>
            <w:r>
              <w:rPr/>
              <w:t> </w:t>
            </w:r>
          </w:p>
        </w:tc>
        <w:tc>
          <w:tcPr>
            <w:tcW w:w="342"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c>
          <w:tcPr>
            <w:tcW w:w="2011"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3, 2026</w:t>
            </w:r>
          </w:p>
        </w:tc>
        <w:tc>
          <w:tcPr>
            <w:tcW w:w="3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706" w:type="dxa"/>
            <w:gridSpan w:val="2"/>
            <w:tcBorders>
              <w:bottom w:val="single" w:sz="8" w:space="0" w:color="000000"/>
            </w:tcBorders>
            <w:tcMar>
              <w:bottom w:w="28" w:type="dxa"/>
            </w:tcMar>
            <w:vAlign w:val="center"/>
          </w:tcPr>
          <w:p>
            <w:pPr>
              <w:pStyle w:val="TableContents"/>
              <w:bidi w:val="0"/>
              <w:spacing w:before="0" w:after="283"/>
              <w:jc w:val="left"/>
              <w:rPr/>
            </w:pPr>
            <w:r>
              <w:rPr/>
              <w:t xml:space="preserve">/s/ Justin M. Picicci </w:t>
            </w:r>
          </w:p>
        </w:tc>
        <w:tc>
          <w:tcPr>
            <w:tcW w:w="75" w:type="dxa"/>
            <w:tcBorders/>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left"/>
              <w:rPr/>
            </w:pPr>
            <w:r>
              <w:rPr/>
              <w:t> </w:t>
            </w:r>
          </w:p>
        </w:tc>
        <w:tc>
          <w:tcPr>
            <w:tcW w:w="342"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Name:</w:t>
            </w:r>
          </w:p>
        </w:tc>
        <w:tc>
          <w:tcPr>
            <w:tcW w:w="20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Justin M. Picicci</w:t>
            </w:r>
          </w:p>
        </w:tc>
        <w:tc>
          <w:tcPr>
            <w:tcW w:w="75" w:type="dxa"/>
            <w:tcBorders/>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left"/>
              <w:rPr/>
            </w:pPr>
            <w:r>
              <w:rPr/>
              <w:t> </w:t>
            </w:r>
          </w:p>
        </w:tc>
        <w:tc>
          <w:tcPr>
            <w:tcW w:w="342"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Title:</w:t>
            </w:r>
          </w:p>
        </w:tc>
        <w:tc>
          <w:tcPr>
            <w:tcW w:w="20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jc w:val="right"/>
        <w:rPr>
          <w:rFonts w:ascii="Arial;Helvetica;Sans-Serif" w:hAnsi="Arial;Helvetica;Sans-Serif"/>
          <w:b/>
          <w:sz w:val="20"/>
        </w:rPr>
      </w:pPr>
      <w:bookmarkStart w:id="22" w:name="eh260826627_ex9901.htm"/>
      <w:bookmarkStart w:id="23" w:name="kseh260826627_ex9901"/>
      <w:bookmarkEnd w:id="22"/>
      <w:bookmarkEnd w:id="23"/>
      <w:r>
        <w:rPr>
          <w:rFonts w:ascii="Arial;Helvetica;Sans-Serif" w:hAnsi="Arial;Helvetica;Sans-Serif"/>
          <w:b/>
          <w:sz w:val="20"/>
        </w:rPr>
        <w:t>EXHIBIT 99.1</w:t>
      </w:r>
      <w:r>
        <w:br w:type="page"/>
      </w:r>
    </w:p>
    <w:p>
      <w:pPr>
        <w:pStyle w:val="TextBody"/>
        <w:bidi w:val="0"/>
        <w:jc w:val="right"/>
        <w:rPr/>
      </w:pPr>
      <w:r>
        <w:rPr/>
        <w:t> </w:t>
      </w:r>
    </w:p>
    <w:p>
      <w:pPr>
        <w:pStyle w:val="TextBody"/>
        <w:bidi w:val="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Ralph Lauren Announces Enterprise Leadership Updates</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NEW YORK — Sept. 3, 2026 — Ralph Lauren Corporation (NYSE: RL) today announced expanded roles for key enterprise leaders, supporting the advancement of the Company’s priorities under its </w:t>
      </w:r>
      <w:r>
        <w:rPr>
          <w:rFonts w:ascii="Arial;Helvetica;Sans-Serif" w:hAnsi="Arial;Helvetica;Sans-Serif"/>
          <w:b w:val="false"/>
          <w:i/>
          <w:caps w:val="false"/>
          <w:smallCaps w:val="false"/>
          <w:sz w:val="20"/>
        </w:rPr>
        <w:t xml:space="preserve">Next Great Chapter: Drive </w:t>
      </w:r>
      <w:r>
        <w:rPr>
          <w:rFonts w:ascii="Arial;Helvetica;Sans-Serif" w:hAnsi="Arial;Helvetica;Sans-Serif"/>
          <w:b w:val="false"/>
          <w:i w:val="false"/>
          <w:caps w:val="false"/>
          <w:smallCaps w:val="false"/>
          <w:sz w:val="20"/>
        </w:rPr>
        <w:t>strategy.</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Halide Alagöz, currently Chief Product &amp; Merchandising Officer</w:t>
      </w:r>
      <w:r>
        <w:rPr>
          <w:rFonts w:ascii="Arial;Helvetica;Sans-Serif" w:hAnsi="Arial;Helvetica;Sans-Serif"/>
          <w:b/>
          <w:i w:val="false"/>
          <w:caps w:val="false"/>
          <w:smallCaps w:val="false"/>
          <w:sz w:val="20"/>
        </w:rPr>
        <w:t xml:space="preserve">, </w:t>
      </w:r>
      <w:r>
        <w:rPr>
          <w:rFonts w:ascii="Arial;Helvetica;Sans-Serif" w:hAnsi="Arial;Helvetica;Sans-Serif"/>
          <w:b w:val="false"/>
          <w:i w:val="false"/>
          <w:caps w:val="false"/>
          <w:smallCaps w:val="false"/>
          <w:sz w:val="20"/>
        </w:rPr>
        <w:t>will become Chief Operating &amp; Product Officer. In this role, Alagöz will assume leadership of the Company’s AI strategy and our architecture &amp; design organization, building on her current responsibilities across global sourcing, integrated business planning, and product &amp; merchandising to bring Ralph’s vision to life consistently – from product creation and production to presentation in our physical cinematic worlds.</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Justin Picicci, Chief Financial Officer, will assume additional global responsibility for real estate and logistics, complementing his role leading financial functions and corporate strategy for the Company to enable further integration and support long-term growth.</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Iris Langlois-Meurinne, Chief Marketing Officer, will take on leadership of Ralph Lauren’s licensing business, adding to her existing responsibilities across global marketing and consumer data &amp; analytics, driving the strategic direction and growth of this important extension of the Company's brand and product portfolio.</w:t>
      </w:r>
    </w:p>
    <w:p>
      <w:pPr>
        <w:pStyle w:val="TextBody"/>
        <w:bidi w:val="0"/>
        <w:spacing w:before="1" w:after="1"/>
        <w:ind w:left="1" w:right="1" w:hanging="0"/>
        <w:jc w:val="left"/>
        <w:rPr>
          <w:caps w:val="false"/>
          <w:smallCaps w:val="false"/>
        </w:rPr>
      </w:pPr>
      <w:r>
        <w:rPr>
          <w:caps w:val="false"/>
          <w:smallCaps w:val="false"/>
        </w:rPr>
        <w:t> </w:t>
      </w:r>
    </w:p>
    <w:p>
      <w:pPr>
        <w:pStyle w:val="TextBody"/>
        <w:bidi w:val="0"/>
        <w:spacing w:before="0" w:after="0"/>
        <w:ind w:left="1" w:right="1"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These changes will be effective as of November 29, 2026, following the retirement of Bob Ranftl as Chief Operating Officer. </w:t>
      </w:r>
    </w:p>
    <w:p>
      <w:pPr>
        <w:pStyle w:val="TextBody"/>
        <w:bidi w:val="0"/>
        <w:spacing w:before="1" w:after="1"/>
        <w:ind w:left="1" w:right="1" w:hanging="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addition, Katie Ioanilli, Chief Global Impact &amp; Communications Officer, will expand her leadership of the Company’s corporate communications, public affairs, citizenship and sustainability strategies with the addition of Design with Intent, Ralph Lauren’s industry-leading initiative to expand cultural collaboration.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w:t>
      </w:r>
      <w:r>
        <w:rPr>
          <w:rFonts w:ascii="Arial;Helvetica;Sans-Serif" w:hAnsi="Arial;Helvetica;Sans-Serif"/>
          <w:b w:val="false"/>
          <w:i w:val="false"/>
          <w:caps w:val="false"/>
          <w:smallCaps w:val="false"/>
          <w:sz w:val="20"/>
        </w:rPr>
        <w:t xml:space="preserve">These changes are reflective of the exceptional talent, readiness, depth of experience and shared commitment to Ralph’s vision across our leadership team. We are well positioned to continue the successful execution of our </w:t>
      </w:r>
      <w:r>
        <w:rPr>
          <w:rFonts w:ascii="Arial;Helvetica;Sans-Serif" w:hAnsi="Arial;Helvetica;Sans-Serif"/>
          <w:b w:val="false"/>
          <w:i/>
          <w:caps w:val="false"/>
          <w:smallCaps w:val="false"/>
          <w:sz w:val="20"/>
        </w:rPr>
        <w:t xml:space="preserve">Next Great Chapter: Drive </w:t>
      </w:r>
      <w:r>
        <w:rPr>
          <w:rFonts w:ascii="Arial;Helvetica;Sans-Serif" w:hAnsi="Arial;Helvetica;Sans-Serif"/>
          <w:b w:val="false"/>
          <w:i w:val="false"/>
          <w:caps w:val="false"/>
          <w:smallCaps w:val="false"/>
          <w:sz w:val="20"/>
        </w:rPr>
        <w:t>strategy as we advance toward a strong and durable future,” said Patrice Louvet, President and Chief Executive Officer. “We are grateful to Bob for his many years of meaningful contributions across markets and roles and wish him the best in his own next chapter.”</w:t>
      </w:r>
    </w:p>
    <w:p>
      <w:pPr>
        <w:pStyle w:val="TextBody"/>
        <w:bidi w:val="0"/>
        <w:spacing w:before="0" w:after="0"/>
        <w:jc w:val="left"/>
        <w:rPr>
          <w:caps w:val="false"/>
          <w:smallCaps w:val="false"/>
        </w:rPr>
      </w:pPr>
      <w:r>
        <w:rPr>
          <w:caps w:val="false"/>
          <w:smallCaps w:val="false"/>
        </w:rPr>
        <w:t> </w:t>
      </w:r>
    </w:p>
    <w:tbl>
      <w:tblPr>
        <w:tblW w:w="173" w:type="dxa"/>
        <w:jc w:val="left"/>
        <w:tblInd w:w="0" w:type="dxa"/>
        <w:tblLayout w:type="fixed"/>
        <w:tblCellMar>
          <w:top w:w="0" w:type="dxa"/>
          <w:left w:w="0" w:type="dxa"/>
          <w:bottom w:w="0" w:type="dxa"/>
          <w:right w:w="0" w:type="dxa"/>
        </w:tblCellMar>
      </w:tblPr>
      <w:tblGrid>
        <w:gridCol w:w="75"/>
        <w:gridCol w:w="23"/>
        <w:gridCol w:w="75"/>
      </w:tblGrid>
      <w:tr>
        <w:trPr/>
        <w:tc>
          <w:tcPr>
            <w:tcW w:w="7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ABOUT RALPH LAUREN CORPORATION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Ralph Lauren Corporation (NYSE:RL) is a global leader in the design, marketing and distribution of luxury lifestyle products in six categories: apparel, handbags, footwear &amp; accessories, fragrances, home, and hospitality. For nearly 60 years, Ralph Lauren has sought to inspire the dream of a better life through authenticity and timeless style. Its reputation and distinctive image have been developed across a wide range of products, brands, distribution channels and international markets. The Company's brand names — which include Ralph Lauren, Ralph Lauren Collection, Ralph Lauren Purple Label, Double RL, Polo Ralph Lauren, Lauren Ralph Lauren, RLX Ralph Lauren, Polo Ralph Lauren Children and Chaps, among others — constitute one of the world's most widely recognized families of consumer brands. For more information, visit </w:t>
      </w:r>
      <w:r>
        <w:rPr>
          <w:rFonts w:ascii="Arial;Helvetica;Sans-Serif" w:hAnsi="Arial;Helvetica;Sans-Serif"/>
          <w:b w:val="false"/>
          <w:i w:val="false"/>
          <w:caps w:val="false"/>
          <w:smallCaps w:val="false"/>
          <w:color w:val="467886"/>
          <w:sz w:val="20"/>
          <w:u w:val="single"/>
        </w:rPr>
        <w:t>https://investor.ralphlauren.com</w:t>
      </w:r>
      <w:r>
        <w:rPr>
          <w:rFonts w:ascii="Arial;Helvetica;Sans-Serif" w:hAnsi="Arial;Helvetica;San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SPECIAL NOTE REGARDING FORWARD-LOOKING STATEMENTS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This press release contains goals, initiatives and “forward-looking statements” within the meaning of the Private Securities Litigation Reform Act of 1995. Forward-looking statements include statements regarding, among other things, statements regarding our current expectations about the Company's future operating results and financial condition, the implementation and results of our strategic plans and initiatives, and the senior management of the Company. Forward-looking statements are indicated by words or phrases such as “aim,” “anticipate,” “outlook,” “estimate,” “ensure,” “commit,” “expect,” “project,” “believe,” “envision,” “seek,” “goal,” “target,” “can,” “will,” and similar words or phrases. These forward-looking statements involve known and unknown risks, uncertainties and other factors which may cause actual results, performance or achievements to be materially different from the future results, performance or achievements expressed in or implied by such forward-looking statements. Forward-looking statements are based largely on the Company's expectations and judgments and are subject to certain risks and uncertainties, many of which are unforeseeable and beyond Company control. The factors that could cause actual results, performance or achievements to materially differ from forward-looking statements include, among others, the risk factors identified in the Company’s Annual Report on Form 10-K, Quarterly Reports on Form 10-Q and Current Reports on Form 8-K filed with the Securities and Exchange Commission. The Company undertakes no obligation to publicly update or revise any forward-looking statements, whether as a result of new information, future events or otherwise.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tbl>
      <w:tblPr>
        <w:tblW w:w="173" w:type="dxa"/>
        <w:jc w:val="left"/>
        <w:tblInd w:w="0" w:type="dxa"/>
        <w:tblLayout w:type="fixed"/>
        <w:tblCellMar>
          <w:top w:w="0" w:type="dxa"/>
          <w:left w:w="0" w:type="dxa"/>
          <w:bottom w:w="0" w:type="dxa"/>
          <w:right w:w="0" w:type="dxa"/>
        </w:tblCellMar>
      </w:tblPr>
      <w:tblGrid>
        <w:gridCol w:w="75"/>
        <w:gridCol w:w="23"/>
        <w:gridCol w:w="75"/>
      </w:tblGrid>
      <w:tr>
        <w:trPr/>
        <w:tc>
          <w:tcPr>
            <w:tcW w:w="7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1467</Words>
  <Characters>8564</Characters>
  <CharactersWithSpaces>10058</CharactersWithSpaces>
  <Paragraphs>185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