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GEORGE MICHAEL A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RALPH LAUREN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RL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04/10/2026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RALPH LAUREN CORPORATION</w:t>
            </w: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650 MADISON AVENUE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16,146.53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00" w:firstLine="7"/>
        <w:spacing w:after="0" w:line="249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of the Issuer's Class A Common Stock payable as a result of the payment of a cash dividend on the Issuer's Class A Common Stock. The restricted stock units are payable solely in shares of the Issuer's Class A Common Stock issued to the Reporting Person in respect of restricted stock units previously granted under the Issuer's 2019 Long-Term Stock Incentive Plan.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Avery S. Fischer,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04/14/2026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36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Michael A. George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3392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80367" TargetMode="External"/><Relationship Id="rId14" Type="http://schemas.openxmlformats.org/officeDocument/2006/relationships/hyperlink" Target="http://www.sec.gov/cgi-bin/browse-edgar?action=getcompany&amp;CIK=0001037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2026-04-14T15:33:30Z</dcterms:created>
  <dcterms:modified xsi:type="dcterms:W3CDTF">2026-04-14T15:33:30Z</dcterms:modified>
</cp:coreProperties>
</file>