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s260842635_4-findley.xml.htm"/>
      <w:bookmarkStart w:id="1" w:name="kses260842635_4findley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Findley Linda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RALPH LAUREN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MADISON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RALPH LAUREN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14"/>
        <w:gridCol w:w="462"/>
        <w:gridCol w:w="624"/>
        <w:gridCol w:w="1290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11,022.24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of the Issuer's Class A Common Stock payable as a result of the payment of a cash dividend on the Issuer's Class A Common Stock. The restricted stock units are payable solely in shares of the Issuer's Class A Common Stock issued to the Reporting Person in respect of restricted stock units previously granted under the Issuer's 2019 Long-Term Stock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Avery S. Fischer, Attorney-in-Fact for Linda Findley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75052" TargetMode="External"/><Relationship Id="rId5" Type="http://schemas.openxmlformats.org/officeDocument/2006/relationships/hyperlink" Target="http://www.sec.gov/cgi-bin/browse-edgar?action=getcompany&amp;CIK=000103703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635</Words>
  <Characters>3423</Characters>
  <CharactersWithSpaces>3991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