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2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Ralph Lauren Corporation</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9"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7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80" w:type="dxa"/>
            <w:vAlign w:val="bottom"/>
          </w:tcPr>
          <w:p>
            <w:pPr>
              <w:jc w:val="center"/>
              <w:ind w:right="275"/>
              <w:spacing w:after="0"/>
              <w:rPr>
                <w:sz w:val="20"/>
                <w:szCs w:val="20"/>
                <w:color w:val="auto"/>
              </w:rPr>
            </w:pPr>
            <w:r>
              <w:rPr>
                <w:rFonts w:ascii="Times New Roman" w:cs="Times New Roman" w:eastAsia="Times New Roman" w:hAnsi="Times New Roman"/>
                <w:sz w:val="18"/>
                <w:szCs w:val="18"/>
                <w:b w:val="1"/>
                <w:bCs w:val="1"/>
                <w:color w:val="auto"/>
                <w:w w:val="99"/>
              </w:rPr>
              <w:t>001-13057</w:t>
            </w:r>
          </w:p>
        </w:tc>
        <w:tc>
          <w:tcPr>
            <w:tcW w:w="17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13-2622036</w:t>
            </w:r>
          </w:p>
        </w:tc>
      </w:tr>
      <w:tr>
        <w:trPr>
          <w:trHeight w:val="162"/>
        </w:trPr>
        <w:tc>
          <w:tcPr>
            <w:tcW w:w="2780" w:type="dxa"/>
            <w:vAlign w:val="bottom"/>
          </w:tcPr>
          <w:p>
            <w:pPr>
              <w:jc w:val="center"/>
              <w:ind w:right="135"/>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180" w:type="dxa"/>
            <w:vAlign w:val="bottom"/>
          </w:tcPr>
          <w:p>
            <w:pPr>
              <w:jc w:val="center"/>
              <w:ind w:right="255"/>
              <w:spacing w:after="0" w:line="162" w:lineRule="exact"/>
              <w:rPr>
                <w:sz w:val="20"/>
                <w:szCs w:val="20"/>
                <w:color w:val="auto"/>
              </w:rPr>
            </w:pPr>
            <w:r>
              <w:rPr>
                <w:rFonts w:ascii="Times New Roman" w:cs="Times New Roman" w:eastAsia="Times New Roman" w:hAnsi="Times New Roman"/>
                <w:sz w:val="16"/>
                <w:szCs w:val="16"/>
                <w:color w:val="auto"/>
              </w:rPr>
              <w:t>(Commission File Number)</w:t>
            </w:r>
          </w:p>
        </w:tc>
        <w:tc>
          <w:tcPr>
            <w:tcW w:w="1760" w:type="dxa"/>
            <w:vAlign w:val="bottom"/>
          </w:tcPr>
          <w:p>
            <w:pPr>
              <w:jc w:val="center"/>
              <w:ind w:left="455"/>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07"/>
        </w:trPr>
        <w:tc>
          <w:tcPr>
            <w:tcW w:w="2780" w:type="dxa"/>
            <w:vAlign w:val="bottom"/>
          </w:tcPr>
          <w:p>
            <w:pPr>
              <w:jc w:val="center"/>
              <w:ind w:right="11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180" w:type="dxa"/>
            <w:vAlign w:val="bottom"/>
          </w:tcPr>
          <w:p>
            <w:pPr>
              <w:spacing w:after="0"/>
              <w:rPr>
                <w:sz w:val="18"/>
                <w:szCs w:val="18"/>
                <w:color w:val="auto"/>
              </w:rPr>
            </w:pPr>
          </w:p>
        </w:tc>
        <w:tc>
          <w:tcPr>
            <w:tcW w:w="1760" w:type="dxa"/>
            <w:vAlign w:val="bottom"/>
          </w:tcPr>
          <w:p>
            <w:pPr>
              <w:jc w:val="center"/>
              <w:ind w:left="45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30"/>
        </w:trPr>
        <w:tc>
          <w:tcPr>
            <w:tcW w:w="2780" w:type="dxa"/>
            <w:vAlign w:val="bottom"/>
          </w:tcPr>
          <w:p>
            <w:pPr>
              <w:jc w:val="center"/>
              <w:ind w:right="135"/>
              <w:spacing w:after="0"/>
              <w:rPr>
                <w:sz w:val="20"/>
                <w:szCs w:val="20"/>
                <w:color w:val="auto"/>
              </w:rPr>
            </w:pPr>
            <w:r>
              <w:rPr>
                <w:rFonts w:ascii="Times New Roman" w:cs="Times New Roman" w:eastAsia="Times New Roman" w:hAnsi="Times New Roman"/>
                <w:sz w:val="18"/>
                <w:szCs w:val="18"/>
                <w:b w:val="1"/>
                <w:bCs w:val="1"/>
                <w:color w:val="auto"/>
                <w:w w:val="99"/>
              </w:rPr>
              <w:t>650 Madison Avenue,</w:t>
            </w:r>
          </w:p>
        </w:tc>
        <w:tc>
          <w:tcPr>
            <w:tcW w:w="4180" w:type="dxa"/>
            <w:vAlign w:val="bottom"/>
          </w:tcPr>
          <w:p>
            <w:pPr>
              <w:spacing w:after="0"/>
              <w:rPr>
                <w:sz w:val="19"/>
                <w:szCs w:val="19"/>
                <w:color w:val="auto"/>
              </w:rPr>
            </w:pPr>
          </w:p>
        </w:tc>
        <w:tc>
          <w:tcPr>
            <w:tcW w:w="176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8"/>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New York, New York</w:t>
            </w:r>
          </w:p>
        </w:tc>
        <w:tc>
          <w:tcPr>
            <w:tcW w:w="4180" w:type="dxa"/>
            <w:vAlign w:val="bottom"/>
          </w:tcPr>
          <w:p>
            <w:pPr>
              <w:spacing w:after="0"/>
              <w:rPr>
                <w:sz w:val="20"/>
                <w:szCs w:val="20"/>
                <w:color w:val="auto"/>
              </w:rPr>
            </w:pPr>
          </w:p>
        </w:tc>
        <w:tc>
          <w:tcPr>
            <w:tcW w:w="1760" w:type="dxa"/>
            <w:vAlign w:val="bottom"/>
          </w:tcPr>
          <w:p>
            <w:pPr>
              <w:jc w:val="center"/>
              <w:ind w:left="475"/>
              <w:spacing w:after="0"/>
              <w:rPr>
                <w:sz w:val="20"/>
                <w:szCs w:val="20"/>
                <w:color w:val="auto"/>
              </w:rPr>
            </w:pPr>
            <w:r>
              <w:rPr>
                <w:rFonts w:ascii="Times New Roman" w:cs="Times New Roman" w:eastAsia="Times New Roman" w:hAnsi="Times New Roman"/>
                <w:sz w:val="16"/>
                <w:szCs w:val="16"/>
                <w:color w:val="auto"/>
              </w:rPr>
              <w:t>(Zip Code)</w:t>
            </w:r>
          </w:p>
        </w:tc>
      </w:tr>
      <w:tr>
        <w:trPr>
          <w:trHeight w:val="210"/>
        </w:trPr>
        <w:tc>
          <w:tcPr>
            <w:tcW w:w="2780" w:type="dxa"/>
            <w:vAlign w:val="bottom"/>
          </w:tcPr>
          <w:p>
            <w:pPr>
              <w:jc w:val="center"/>
              <w:ind w:right="11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0"/>
        </w:trPr>
        <w:tc>
          <w:tcPr>
            <w:tcW w:w="2780" w:type="dxa"/>
            <w:vAlign w:val="bottom"/>
          </w:tcPr>
          <w:p>
            <w:pPr>
              <w:spacing w:after="0"/>
              <w:rPr>
                <w:sz w:val="24"/>
                <w:szCs w:val="24"/>
                <w:color w:val="auto"/>
              </w:rPr>
            </w:pPr>
          </w:p>
        </w:tc>
        <w:tc>
          <w:tcPr>
            <w:tcW w:w="4180" w:type="dxa"/>
            <w:vAlign w:val="bottom"/>
          </w:tcPr>
          <w:p>
            <w:pPr>
              <w:jc w:val="center"/>
              <w:ind w:right="255"/>
              <w:spacing w:after="0"/>
              <w:rPr>
                <w:sz w:val="20"/>
                <w:szCs w:val="20"/>
                <w:color w:val="auto"/>
              </w:rPr>
            </w:pPr>
            <w:r>
              <w:rPr>
                <w:rFonts w:ascii="Times New Roman" w:cs="Times New Roman" w:eastAsia="Times New Roman" w:hAnsi="Times New Roman"/>
                <w:sz w:val="18"/>
                <w:szCs w:val="18"/>
                <w:b w:val="1"/>
                <w:bCs w:val="1"/>
                <w:color w:val="auto"/>
                <w:w w:val="99"/>
              </w:rPr>
              <w:t>(212) 318-7000</w:t>
            </w:r>
          </w:p>
        </w:tc>
        <w:tc>
          <w:tcPr>
            <w:tcW w:w="1760" w:type="dxa"/>
            <w:vAlign w:val="bottom"/>
          </w:tcPr>
          <w:p>
            <w:pPr>
              <w:spacing w:after="0"/>
              <w:rPr>
                <w:sz w:val="24"/>
                <w:szCs w:val="24"/>
                <w:color w:val="auto"/>
              </w:rPr>
            </w:pPr>
          </w:p>
        </w:tc>
      </w:tr>
      <w:tr>
        <w:trPr>
          <w:trHeight w:val="264"/>
        </w:trPr>
        <w:tc>
          <w:tcPr>
            <w:tcW w:w="2780" w:type="dxa"/>
            <w:vAlign w:val="bottom"/>
          </w:tcPr>
          <w:p>
            <w:pPr>
              <w:spacing w:after="0"/>
              <w:rPr>
                <w:sz w:val="22"/>
                <w:szCs w:val="22"/>
                <w:color w:val="auto"/>
              </w:rPr>
            </w:pPr>
          </w:p>
        </w:tc>
        <w:tc>
          <w:tcPr>
            <w:tcW w:w="4180" w:type="dxa"/>
            <w:vAlign w:val="bottom"/>
          </w:tcPr>
          <w:p>
            <w:pPr>
              <w:jc w:val="center"/>
              <w:ind w:right="23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60" w:type="dxa"/>
            <w:vAlign w:val="bottom"/>
          </w:tcPr>
          <w:p>
            <w:pPr>
              <w:spacing w:after="0"/>
              <w:rPr>
                <w:sz w:val="22"/>
                <w:szCs w:val="22"/>
                <w:color w:val="auto"/>
              </w:rPr>
            </w:pPr>
          </w:p>
        </w:tc>
      </w:tr>
    </w:tbl>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 APPLICABLE</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231F20"/>
        </w:rPr>
        <w:t>(Former name or former address, if changed since last report.)</w:t>
      </w:r>
    </w:p>
    <w:p>
      <w:pPr>
        <w:spacing w:after="0" w:line="24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4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140" w:type="dxa"/>
            <w:vAlign w:val="bottom"/>
            <w:gridSpan w:val="2"/>
            <w:vMerge w:val="continue"/>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$.01 par value</w:t>
            </w:r>
          </w:p>
        </w:tc>
        <w:tc>
          <w:tcPr>
            <w:tcW w:w="20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RL</w:t>
            </w:r>
          </w:p>
        </w:tc>
        <w:tc>
          <w:tcPr>
            <w:tcW w:w="20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231F20"/>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193"/>
        <w:spacing w:after="0" w:line="282" w:lineRule="auto"/>
        <w:rPr>
          <w:sz w:val="20"/>
          <w:szCs w:val="20"/>
          <w:color w:val="auto"/>
        </w:rPr>
      </w:pPr>
      <w:r>
        <w:rPr>
          <w:rFonts w:ascii="Times New Roman" w:cs="Times New Roman" w:eastAsia="Times New Roman" w:hAnsi="Times New Roman"/>
          <w:sz w:val="18"/>
          <w:szCs w:val="18"/>
          <w:color w:val="auto"/>
        </w:rPr>
        <w:t>On May 21, 2026, Ralph Lauren Corporation (the “Company”) reported its results of operations for the fiscal year ended March 28, 2026. A copy of the press release issued by the Company concerning the foregoing is furnished herewith as Exhibit 99.1 and is incorporated herein by reference.</w:t>
      </w:r>
    </w:p>
    <w:p>
      <w:pPr>
        <w:spacing w:after="0" w:line="189" w:lineRule="exact"/>
        <w:rPr>
          <w:sz w:val="20"/>
          <w:szCs w:val="20"/>
          <w:color w:val="auto"/>
        </w:rPr>
      </w:pPr>
    </w:p>
    <w:p>
      <w:pPr>
        <w:jc w:val="both"/>
        <w:ind w:firstLine="197"/>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the accompanying exhibit, is being furnished under Item 2.02 and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93"/>
        </w:trPr>
        <w:tc>
          <w:tcPr>
            <w:tcW w:w="24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99.1</w:t>
            </w:r>
          </w:p>
        </w:tc>
        <w:tc>
          <w:tcPr>
            <w:tcW w:w="1960" w:type="dxa"/>
            <w:vAlign w:val="bottom"/>
          </w:tcPr>
          <w:p>
            <w:pPr>
              <w:spacing w:after="0"/>
              <w:rPr>
                <w:sz w:val="24"/>
                <w:szCs w:val="24"/>
                <w:color w:val="auto"/>
              </w:rPr>
            </w:pPr>
          </w:p>
        </w:tc>
        <w:tc>
          <w:tcPr>
            <w:tcW w:w="2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May 21, 2026</w:t>
            </w:r>
          </w:p>
        </w:tc>
        <w:tc>
          <w:tcPr>
            <w:tcW w:w="4340" w:type="dxa"/>
            <w:vAlign w:val="bottom"/>
          </w:tcPr>
          <w:p>
            <w:pPr>
              <w:spacing w:after="0"/>
              <w:rPr>
                <w:sz w:val="24"/>
                <w:szCs w:val="24"/>
                <w:color w:val="auto"/>
              </w:rPr>
            </w:pPr>
          </w:p>
        </w:tc>
      </w:tr>
      <w:tr>
        <w:trPr>
          <w:trHeight w:val="291"/>
        </w:trPr>
        <w:tc>
          <w:tcPr>
            <w:tcW w:w="24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104</w:t>
            </w:r>
          </w:p>
        </w:tc>
        <w:tc>
          <w:tcPr>
            <w:tcW w:w="196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297" w:lineRule="exact"/>
        <w:rPr>
          <w:sz w:val="20"/>
          <w:szCs w:val="20"/>
          <w:color w:val="auto"/>
        </w:rPr>
      </w:pPr>
    </w:p>
    <w:p>
      <w:pPr>
        <w:ind w:left="40"/>
        <w:spacing w:after="0"/>
        <w:tabs>
          <w:tab w:leader="none" w:pos="5220" w:val="left"/>
          <w:tab w:leader="none" w:pos="7380" w:val="left"/>
          <w:tab w:leader="none" w:pos="77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JUSTIN M. PICICCI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3505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0"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Justin M. Picicci</w:t>
      </w:r>
    </w:p>
    <w:p>
      <w:pPr>
        <w:spacing w:after="0" w:line="27"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440" w:right="33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8" w:lineRule="exact"/>
        <w:rPr>
          <w:sz w:val="20"/>
          <w:szCs w:val="20"/>
          <w:color w:val="auto"/>
        </w:rPr>
      </w:pPr>
    </w:p>
    <w:p>
      <w:pPr>
        <w:ind w:right="980"/>
        <w:spacing w:after="0" w:line="275" w:lineRule="auto"/>
        <w:rPr>
          <w:sz w:val="20"/>
          <w:szCs w:val="20"/>
          <w:color w:val="auto"/>
        </w:rPr>
      </w:pPr>
      <w:r>
        <w:rPr>
          <w:rFonts w:ascii="Times New Roman" w:cs="Times New Roman" w:eastAsia="Times New Roman" w:hAnsi="Times New Roman"/>
          <w:sz w:val="22"/>
          <w:szCs w:val="22"/>
          <w:b w:val="1"/>
          <w:bCs w:val="1"/>
          <w:color w:val="auto"/>
        </w:rPr>
        <w:t>RALPH LAUREN REPORTS FOURTH QUARTER AND FULL YEAR FISCAL 2026 RESULTS AHEAD OF EXPECTATIONS; PROVIDES INITIAL OUTLOOK FOR FISCAL 2027</w:t>
      </w:r>
    </w:p>
    <w:p>
      <w:pPr>
        <w:spacing w:after="0" w:line="302" w:lineRule="exact"/>
        <w:rPr>
          <w:sz w:val="20"/>
          <w:szCs w:val="20"/>
          <w:color w:val="auto"/>
        </w:rPr>
      </w:pPr>
    </w:p>
    <w:p>
      <w:pPr>
        <w:ind w:left="340" w:right="320" w:hanging="332"/>
        <w:spacing w:after="0" w:line="257"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and Full Year Revenue Exceeded Expectations, with Fourth Quarter Revenue Up 17% on a Reported Basis and 12% in Constant Currency and Full Year Fiscal 2026 Revenue Up 15% and 12% in Reported and Constant Dollars, Respectively</w:t>
      </w:r>
    </w:p>
    <w:p>
      <w:pPr>
        <w:spacing w:after="0" w:line="64" w:lineRule="exact"/>
        <w:rPr>
          <w:rFonts w:ascii="Times New Roman" w:cs="Times New Roman" w:eastAsia="Times New Roman" w:hAnsi="Times New Roman"/>
          <w:sz w:val="22"/>
          <w:szCs w:val="22"/>
          <w:color w:val="auto"/>
        </w:rPr>
      </w:pPr>
    </w:p>
    <w:p>
      <w:pPr>
        <w:ind w:left="340" w:right="560" w:hanging="332"/>
        <w:spacing w:after="0" w:line="263"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Global Direct-to-Consumer Comparable Store Sales Increased 17% in the Fourth Quarter and 13% for the Full Year, Including Positive Retail Comps Across Regions and Channels and Mid-Teens Growth in Average Unit Retail ("AUR") Supported by Strong Full-Price Selling Trends</w:t>
      </w:r>
    </w:p>
    <w:p>
      <w:pPr>
        <w:spacing w:after="0" w:line="59" w:lineRule="exact"/>
        <w:rPr>
          <w:rFonts w:ascii="Times New Roman" w:cs="Times New Roman" w:eastAsia="Times New Roman" w:hAnsi="Times New Roman"/>
          <w:sz w:val="22"/>
          <w:szCs w:val="22"/>
          <w:color w:val="auto"/>
        </w:rPr>
      </w:pPr>
    </w:p>
    <w:p>
      <w:pPr>
        <w:ind w:left="340" w:right="560" w:hanging="332"/>
        <w:spacing w:after="0" w:line="271"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Delivered Fourth Quarter Adjusted Gross and Operating Margin Expansion Above Our Outlook; Fiscal 2026 Gross and Operating Margins Both Exceeded Our </w:t>
      </w:r>
      <w:r>
        <w:rPr>
          <w:rFonts w:ascii="Times New Roman" w:cs="Times New Roman" w:eastAsia="Times New Roman" w:hAnsi="Times New Roman"/>
          <w:sz w:val="22"/>
          <w:szCs w:val="22"/>
          <w:i w:val="1"/>
          <w:iCs w:val="1"/>
          <w:color w:val="auto"/>
        </w:rPr>
        <w:t>Next Great Chapter: Drive</w:t>
      </w:r>
      <w:r>
        <w:rPr>
          <w:rFonts w:ascii="Times New Roman" w:cs="Times New Roman" w:eastAsia="Times New Roman" w:hAnsi="Times New Roman"/>
          <w:sz w:val="22"/>
          <w:szCs w:val="22"/>
          <w:color w:val="auto"/>
        </w:rPr>
        <w:t xml:space="preserve"> Annual Targets</w:t>
      </w:r>
    </w:p>
    <w:p>
      <w:pPr>
        <w:spacing w:after="0" w:line="49" w:lineRule="exact"/>
        <w:rPr>
          <w:rFonts w:ascii="Times New Roman" w:cs="Times New Roman" w:eastAsia="Times New Roman" w:hAnsi="Times New Roman"/>
          <w:sz w:val="22"/>
          <w:szCs w:val="22"/>
          <w:color w:val="auto"/>
        </w:rPr>
      </w:pPr>
    </w:p>
    <w:p>
      <w:pPr>
        <w:ind w:left="340" w:right="740" w:hanging="332"/>
        <w:spacing w:after="0" w:line="271"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Sustained Balance Sheet Strength with More Than $2 Billion in Cash &amp; Short-Term Investments and Well-Positioned Inventories at Fiscal Year-End</w:t>
      </w:r>
    </w:p>
    <w:p>
      <w:pPr>
        <w:spacing w:after="0" w:line="49" w:lineRule="exact"/>
        <w:rPr>
          <w:rFonts w:ascii="Times New Roman" w:cs="Times New Roman" w:eastAsia="Times New Roman" w:hAnsi="Times New Roman"/>
          <w:sz w:val="22"/>
          <w:szCs w:val="22"/>
          <w:color w:val="auto"/>
        </w:rPr>
      </w:pPr>
    </w:p>
    <w:p>
      <w:pPr>
        <w:ind w:left="340" w:right="400" w:hanging="332"/>
        <w:spacing w:after="0" w:line="284"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a Total of More than $700 Million to Shareholders Through Our Dividend and Repurchase of Class A Common Stock in Fiscal 2026; Board of Directors Approves 10% Dividend Increase</w:t>
      </w:r>
    </w:p>
    <w:p>
      <w:pPr>
        <w:spacing w:after="0" w:line="35" w:lineRule="exact"/>
        <w:rPr>
          <w:rFonts w:ascii="Times New Roman" w:cs="Times New Roman" w:eastAsia="Times New Roman" w:hAnsi="Times New Roman"/>
          <w:sz w:val="22"/>
          <w:szCs w:val="22"/>
          <w:color w:val="auto"/>
        </w:rPr>
      </w:pPr>
    </w:p>
    <w:p>
      <w:pPr>
        <w:ind w:left="340" w:right="120" w:hanging="332"/>
        <w:spacing w:after="0" w:line="271" w:lineRule="auto"/>
        <w:tabs>
          <w:tab w:leader="none" w:pos="33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Introduced Preliminary Outlook for Fiscal 2027 Net Revenue Growth of Mid-Single Digits and Continued Operating Margin Expansion, Both on a Constant Currency Basis, Consistent with Our Long-Term, Investor Day Commitments</w:t>
      </w:r>
    </w:p>
    <w:p>
      <w:pPr>
        <w:spacing w:after="0" w:line="2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NEW YORK -- (BUSINESS WIRE) -- May 21, 2026 -- Ralph Lauren Corporation (NYSE:RL), a global leader in the design, marketing, and distribution of luxury lifestyle products, today reported earnings per diluted share of $2.45 on a reported basis and $2.80 on an adjusted basis, excluding restructuring-related and other net charges, for the fourth quarter of Fiscal 2026. This compared to earnings per diluted share of $2.03 on a reported basis and $2.27 on an adjusted basis, excluding restructuring-related and other net charges, for the fourth quarter of Fiscal 2025.</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nearly 60 years, our brand has stood for optimism, quality, authenticity, and a life well lived," said Ralph Lauren, Executive Chairman and Chief Creative Officer. "From the passion and pursuit of greatness at the Olympics -- the world's biggest stage in sports -- to joyful traditions like Lunar New Year, we are bringing people together through timeless style that celebrates life’s meaningful moments."</w:t>
      </w:r>
    </w:p>
    <w:p>
      <w:pPr>
        <w:spacing w:after="0" w:line="1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"Our teams around the world executed with excellence and agility to deliver a strong first year of our </w:t>
      </w:r>
      <w:r>
        <w:rPr>
          <w:rFonts w:ascii="Times New Roman" w:cs="Times New Roman" w:eastAsia="Times New Roman" w:hAnsi="Times New Roman"/>
          <w:sz w:val="21"/>
          <w:szCs w:val="21"/>
          <w:i w:val="1"/>
          <w:iCs w:val="1"/>
          <w:color w:val="auto"/>
        </w:rPr>
        <w:t>Next Great Chapter: Drive</w:t>
      </w:r>
      <w:r>
        <w:rPr>
          <w:rFonts w:ascii="Times New Roman" w:cs="Times New Roman" w:eastAsia="Times New Roman" w:hAnsi="Times New Roman"/>
          <w:sz w:val="21"/>
          <w:szCs w:val="21"/>
          <w:color w:val="auto"/>
        </w:rPr>
        <w:t xml:space="preserve"> strategic plan," said Patrice Louvet, President and Chief Executive Officer. "While navigating a highly dynamic global operating environment, we exceeded our financial commitments in Fiscal 2026 with revenues surpassing $8 billion for the first time on healthy quality of sales, with balanced contributions across our lifestyle categories, geographies, and channels — a testament to the power of our iconic brand and ability to connect authentically with consumers across generations and cultures."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Mr. Louvet continued, "Looking ahead, we remain focused on driving our multiple engines of growth while continuing to lay the groundwork for sustainable growth and value creation into the future. This gives us confidence in introducing an initial Fiscal 2027 outlook consistent with our </w:t>
      </w:r>
      <w:r>
        <w:rPr>
          <w:rFonts w:ascii="Times New Roman" w:cs="Times New Roman" w:eastAsia="Times New Roman" w:hAnsi="Times New Roman"/>
          <w:sz w:val="22"/>
          <w:szCs w:val="22"/>
          <w:i w:val="1"/>
          <w:iCs w:val="1"/>
          <w:color w:val="auto"/>
        </w:rPr>
        <w:t>Next Great Chapter: Drive</w:t>
      </w:r>
      <w:r>
        <w:rPr>
          <w:rFonts w:ascii="Times New Roman" w:cs="Times New Roman" w:eastAsia="Times New Roman" w:hAnsi="Times New Roman"/>
          <w:sz w:val="22"/>
          <w:szCs w:val="22"/>
          <w:color w:val="auto"/>
        </w:rPr>
        <w:t xml:space="preserve"> commitments, all supported by our highly engaged teams, embracing AI and new technologies, our culture of operating discipline, and a best-in-class balance sheet."</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Key Achievements in Fourth Quarter and Full Year Fiscal 2026</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delivered the following highlights across our strategic priorities in the fourth quarter and full year Fiscal 2026:</w:t>
      </w:r>
    </w:p>
    <w:p>
      <w:pPr>
        <w:spacing w:after="0" w:line="24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Elevate and Energize Our Lifestyle Brand</w:t>
      </w:r>
    </w:p>
    <w:p>
      <w:pPr>
        <w:spacing w:after="0" w:line="115" w:lineRule="exact"/>
        <w:rPr>
          <w:rFonts w:ascii="Times New Roman" w:cs="Times New Roman" w:eastAsia="Times New Roman" w:hAnsi="Times New Roman"/>
          <w:sz w:val="22"/>
          <w:szCs w:val="22"/>
          <w:b w:val="1"/>
          <w:bCs w:val="1"/>
          <w:color w:val="auto"/>
        </w:rPr>
      </w:pPr>
    </w:p>
    <w:p>
      <w:pPr>
        <w:ind w:left="1300" w:right="200" w:hanging="320"/>
        <w:spacing w:after="0" w:line="250"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Drove continued momentum in new customer recruitment with 6.5 million new customers in our direct-to-consumer channels this fiscal year, supported by approximately 70 million social media followers (a high single-digit increase to last year) and meaningful progress in net promoter score to last year</w:t>
      </w:r>
    </w:p>
    <w:p>
      <w:pPr>
        <w:spacing w:after="0" w:line="2" w:lineRule="exact"/>
        <w:rPr>
          <w:rFonts w:ascii="Times New Roman" w:cs="Times New Roman" w:eastAsia="Times New Roman" w:hAnsi="Times New Roman"/>
          <w:sz w:val="22"/>
          <w:szCs w:val="22"/>
          <w:color w:val="auto"/>
        </w:rPr>
      </w:pPr>
    </w:p>
    <w:p>
      <w:pPr>
        <w:ind w:left="1300" w:right="360" w:hanging="320"/>
        <w:spacing w:after="0" w:line="237" w:lineRule="auto"/>
        <w:tabs>
          <w:tab w:leader="none" w:pos="1269"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Fueled high-quality, new customer recruitment and engagement through key brand moments, with recent investments focused on: our iconic sponsorship of Team USA at the 2026 Milan Cortina Winter Olympics; our Fall '26 Women's Collection fashion show in New York City and Men's Purple Label show in Milan; Women's Polo presentation in Paris; and innovative Lunar New Year activations</w:t>
      </w:r>
    </w:p>
    <w:p>
      <w:pPr>
        <w:spacing w:after="0" w:line="13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Drive the Core and Expand for More</w:t>
      </w:r>
    </w:p>
    <w:p>
      <w:pPr>
        <w:spacing w:after="0" w:line="129" w:lineRule="exact"/>
        <w:rPr>
          <w:rFonts w:ascii="Times New Roman" w:cs="Times New Roman" w:eastAsia="Times New Roman" w:hAnsi="Times New Roman"/>
          <w:sz w:val="22"/>
          <w:szCs w:val="22"/>
          <w:b w:val="1"/>
          <w:bCs w:val="1"/>
          <w:color w:val="auto"/>
        </w:rPr>
      </w:pPr>
    </w:p>
    <w:p>
      <w:pPr>
        <w:ind w:left="1300" w:right="260" w:hanging="320"/>
        <w:spacing w:after="0" w:line="256" w:lineRule="auto"/>
        <w:tabs>
          <w:tab w:leader="none" w:pos="1296"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Delivered fourth quarter revenue growth in our Core business, up mid-teens to last year, as well as our high-potential categories — including Women's Apparel, Outerwear and Handbags — up more than 20% to last year, both in constant currency</w:t>
      </w:r>
    </w:p>
    <w:p>
      <w:pPr>
        <w:spacing w:after="0" w:line="66" w:lineRule="exact"/>
        <w:rPr>
          <w:rFonts w:ascii="Arial" w:cs="Arial" w:eastAsia="Arial" w:hAnsi="Arial"/>
          <w:sz w:val="22"/>
          <w:szCs w:val="22"/>
          <w:color w:val="auto"/>
        </w:rPr>
      </w:pPr>
    </w:p>
    <w:p>
      <w:pPr>
        <w:ind w:left="1300" w:right="60" w:hanging="320"/>
        <w:spacing w:after="0" w:line="256"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highlights this quarter included: our Team USA Olympics collection; our limited-edition MLB capsule celebrating the 2026 World Baseball Classic; our Spring '26 collection capturing the dynamic energy and polished charm of classic sporting pursuits; and the introduction of Polo Blaze, our newest foundational handbag collection debuting in Fall '26, at Paris Fashion Week</w:t>
      </w:r>
    </w:p>
    <w:p>
      <w:pPr>
        <w:spacing w:after="0" w:line="68" w:lineRule="exact"/>
        <w:rPr>
          <w:rFonts w:ascii="Times New Roman" w:cs="Times New Roman" w:eastAsia="Times New Roman" w:hAnsi="Times New Roman"/>
          <w:sz w:val="22"/>
          <w:szCs w:val="22"/>
          <w:color w:val="auto"/>
        </w:rPr>
      </w:pPr>
    </w:p>
    <w:p>
      <w:pPr>
        <w:ind w:left="1300" w:hanging="320"/>
        <w:spacing w:after="0" w:line="257"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AUR by mid-teens for both the fourth quarter and full year, driven by continued elevation of our product offering, favorable geographic and channel mix shifts, and increased full-price selling and a reduction in discount rates</w:t>
      </w:r>
    </w:p>
    <w:p>
      <w:pPr>
        <w:spacing w:after="0" w:line="1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Win in Key Cities with Our Consumer Ecosystem</w:t>
      </w:r>
    </w:p>
    <w:p>
      <w:pPr>
        <w:spacing w:after="0" w:line="31" w:lineRule="exact"/>
        <w:rPr>
          <w:rFonts w:ascii="Times New Roman" w:cs="Times New Roman" w:eastAsia="Times New Roman" w:hAnsi="Times New Roman"/>
          <w:sz w:val="22"/>
          <w:szCs w:val="22"/>
          <w:b w:val="1"/>
          <w:bCs w:val="1"/>
          <w:color w:val="auto"/>
        </w:rPr>
      </w:pPr>
    </w:p>
    <w:p>
      <w:pPr>
        <w:ind w:left="1300" w:right="320" w:hanging="320"/>
        <w:spacing w:after="0" w:line="230" w:lineRule="auto"/>
        <w:tabs>
          <w:tab w:leader="none" w:pos="129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geography, fourth quarter sales growth was led by Asia, up 31% on a reported basis and 28% in constant currency, with particularly strong growth in China driven by exceptional Lunar New Year sales. Europe sales increased 18% on a reported basis and 6% in constant currency, with balanced growth in retail and wholesale channels. North America continued its solid momentum with sales up 8%, including double-digit direct-to-consumer comps and flat wholesale sales, as better than expected full-price growth offset planned reductions in lower-tier wholesale channels</w:t>
      </w:r>
    </w:p>
    <w:p>
      <w:pPr>
        <w:spacing w:after="0" w:line="87" w:lineRule="exact"/>
        <w:rPr>
          <w:rFonts w:ascii="Times New Roman" w:cs="Times New Roman" w:eastAsia="Times New Roman" w:hAnsi="Times New Roman"/>
          <w:sz w:val="22"/>
          <w:szCs w:val="22"/>
          <w:color w:val="auto"/>
        </w:rPr>
      </w:pPr>
    </w:p>
    <w:p>
      <w:pPr>
        <w:ind w:left="1300" w:right="60" w:hanging="320"/>
        <w:spacing w:after="0" w:line="271" w:lineRule="auto"/>
        <w:tabs>
          <w:tab w:leader="none" w:pos="1296" w:val="left"/>
        </w:tabs>
        <w:numPr>
          <w:ilvl w:val="1"/>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Continued to expand and scale our key city ecosystems over the past fiscal year, including new stores in Chengdu, Sydney, Bangkok, Newport Beach, West Palm Beach, New Delhi, and London, among others</w:t>
      </w:r>
    </w:p>
    <w:p>
      <w:pPr>
        <w:spacing w:after="0" w:line="1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Our business is supported by our fortress foundation, which we define through our five key enablers, including: our engaged and empowered teams; industry-leading, agile operations; advanced technology, artificial intelligence and analytics; resilient partners, communities and materials; and a powerful balance sheet.</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Fourth Quarter Fiscal 2026 Income Statement Review</w:t>
      </w:r>
    </w:p>
    <w:p>
      <w:pPr>
        <w:spacing w:after="0" w:line="24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Net Revenue. </w:t>
      </w:r>
      <w:r>
        <w:rPr>
          <w:rFonts w:ascii="Times New Roman" w:cs="Times New Roman" w:eastAsia="Times New Roman" w:hAnsi="Times New Roman"/>
          <w:sz w:val="22"/>
          <w:szCs w:val="22"/>
          <w:color w:val="auto"/>
        </w:rPr>
        <w:t>In the fourth quarter of Fiscal 2026, revenue increased 17% to $2.0 billion on a reported basis and 12% in constant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currency. Foreign currency benefited revenue growth by approximately 450 basis points in the fourth quarter.</w:t>
      </w:r>
    </w:p>
    <w:p>
      <w:pPr>
        <w:spacing w:after="0" w:line="194"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22"/>
          <w:szCs w:val="22"/>
          <w:color w:val="auto"/>
        </w:rPr>
        <w:t>Revenue performance for the Company's reportable segments in the fourth quarter compared to the prior year period was as follows:</w:t>
      </w:r>
    </w:p>
    <w:p>
      <w:pPr>
        <w:spacing w:after="0" w:line="167" w:lineRule="exact"/>
        <w:rPr>
          <w:sz w:val="20"/>
          <w:szCs w:val="20"/>
          <w:color w:val="auto"/>
        </w:rPr>
      </w:pPr>
    </w:p>
    <w:p>
      <w:pPr>
        <w:jc w:val="both"/>
        <w:ind w:left="660" w:right="100" w:hanging="328"/>
        <w:spacing w:after="0" w:line="252" w:lineRule="auto"/>
        <w:tabs>
          <w:tab w:leader="none" w:pos="621"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 xml:space="preserve">North America Revenue. </w:t>
      </w:r>
      <w:r>
        <w:rPr>
          <w:rFonts w:ascii="Times New Roman" w:cs="Times New Roman" w:eastAsia="Times New Roman" w:hAnsi="Times New Roman"/>
          <w:sz w:val="22"/>
          <w:szCs w:val="22"/>
          <w:color w:val="auto"/>
        </w:rPr>
        <w:t>North America revenue in the fourth quarter increased 8% to $763 million. In retail, comparable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store sales in North America increased 16%, with a 14% increase in brick and mortar stores and a 21% increase in digital commerce. North America wholesale revenue was approximately flat.</w:t>
      </w:r>
    </w:p>
    <w:p>
      <w:pPr>
        <w:spacing w:after="0" w:line="202" w:lineRule="exact"/>
        <w:rPr>
          <w:rFonts w:ascii="Arial" w:cs="Arial" w:eastAsia="Arial" w:hAnsi="Arial"/>
          <w:sz w:val="20"/>
          <w:szCs w:val="20"/>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Europe Revenue. </w:t>
      </w:r>
      <w:r>
        <w:rPr>
          <w:rFonts w:ascii="Times New Roman" w:cs="Times New Roman" w:eastAsia="Times New Roman" w:hAnsi="Times New Roman"/>
          <w:sz w:val="22"/>
          <w:szCs w:val="22"/>
          <w:color w:val="auto"/>
        </w:rPr>
        <w:t>Europe revenue in the fourth quarter increased 18% to $620 million on a reported basis and 6%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constant currency. In retail, comparable store sales in Europe increased 5%, with a 2% increase in brick and mortar stores and a 14% increase in digital commerce. Europe wholesale revenue increased 19% on a reported basis and 7% in constant currency.</w:t>
      </w:r>
    </w:p>
    <w:p>
      <w:pPr>
        <w:spacing w:after="0" w:line="194" w:lineRule="exact"/>
        <w:rPr>
          <w:rFonts w:ascii="Times New Roman" w:cs="Times New Roman" w:eastAsia="Times New Roman" w:hAnsi="Times New Roman"/>
          <w:sz w:val="22"/>
          <w:szCs w:val="22"/>
          <w:color w:val="auto"/>
        </w:rPr>
      </w:pPr>
    </w:p>
    <w:p>
      <w:pPr>
        <w:ind w:left="660" w:right="180" w:hanging="328"/>
        <w:spacing w:after="0" w:line="259" w:lineRule="auto"/>
        <w:tabs>
          <w:tab w:leader="none" w:pos="655" w:val="left"/>
        </w:tabs>
        <w:numPr>
          <w:ilvl w:val="0"/>
          <w:numId w:val="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i w:val="1"/>
          <w:iCs w:val="1"/>
          <w:color w:val="auto"/>
        </w:rPr>
        <w:t xml:space="preserve">Asia Revenue. </w:t>
      </w:r>
      <w:r>
        <w:rPr>
          <w:rFonts w:ascii="Times New Roman" w:cs="Times New Roman" w:eastAsia="Times New Roman" w:hAnsi="Times New Roman"/>
          <w:sz w:val="22"/>
          <w:szCs w:val="22"/>
          <w:color w:val="auto"/>
        </w:rPr>
        <w:t>Asia revenue in the fourth quarter increased 31% to $564 million on a reported basis and 28% in constant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currency. Comparable store sales in Asia increased 25%, with a 25% increase in our brick and mortar stores and a 31% increase in digital commerce.</w:t>
      </w:r>
    </w:p>
    <w:p>
      <w:pPr>
        <w:spacing w:after="0" w:line="191"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Gross Profit. </w:t>
      </w:r>
      <w:r>
        <w:rPr>
          <w:rFonts w:ascii="Times New Roman" w:cs="Times New Roman" w:eastAsia="Times New Roman" w:hAnsi="Times New Roman"/>
          <w:sz w:val="22"/>
          <w:szCs w:val="22"/>
          <w:color w:val="auto"/>
        </w:rPr>
        <w:t>Gross profit for the fourth quarter of Fiscal 2026 was $1.4 billion and gross margin was 69.7%. Adjusted gross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margin was also 69.7%, 110 basis points above the prior year. Gross margin</w:t>
      </w:r>
    </w:p>
    <w:p>
      <w:pPr>
        <w:spacing w:after="0" w:line="2" w:lineRule="exact"/>
        <w:rPr>
          <w:sz w:val="20"/>
          <w:szCs w:val="20"/>
          <w:color w:val="auto"/>
        </w:rPr>
      </w:pPr>
    </w:p>
    <w:p>
      <w:pPr>
        <w:jc w:val="both"/>
        <w:ind w:right="620"/>
        <w:spacing w:after="0" w:line="248" w:lineRule="auto"/>
        <w:rPr>
          <w:sz w:val="20"/>
          <w:szCs w:val="20"/>
          <w:color w:val="auto"/>
        </w:rPr>
      </w:pPr>
      <w:r>
        <w:rPr>
          <w:rFonts w:ascii="Times New Roman" w:cs="Times New Roman" w:eastAsia="Times New Roman" w:hAnsi="Times New Roman"/>
          <w:sz w:val="22"/>
          <w:szCs w:val="22"/>
          <w:color w:val="auto"/>
        </w:rPr>
        <w:t>expansion was driven by favorable geographic, channel, and product mix, AUR growth, and lower cotton costs, more than offsetting increased U.S. tariffs as well as other non-cotton product costs.</w:t>
      </w:r>
    </w:p>
    <w:p>
      <w:pPr>
        <w:spacing w:after="0" w:line="20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Expenses. </w:t>
      </w:r>
      <w:r>
        <w:rPr>
          <w:rFonts w:ascii="Times New Roman" w:cs="Times New Roman" w:eastAsia="Times New Roman" w:hAnsi="Times New Roman"/>
          <w:sz w:val="22"/>
          <w:szCs w:val="22"/>
          <w:color w:val="auto"/>
        </w:rPr>
        <w:t>Operating expenses in the fourth quarter of Fiscal 2026 were $1.2 billion on a reported basis. On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adjusted basis, operating expenses were also $1.2 billion, up 17% to last year. Adjusted operating expense rate was 58.6%, compared to 58.4% in the prior year.</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Income. </w:t>
      </w:r>
      <w:r>
        <w:rPr>
          <w:rFonts w:ascii="Times New Roman" w:cs="Times New Roman" w:eastAsia="Times New Roman" w:hAnsi="Times New Roman"/>
          <w:sz w:val="22"/>
          <w:szCs w:val="22"/>
          <w:color w:val="auto"/>
        </w:rPr>
        <w:t>Operating income for the fourth quarter of Fiscal 2026 was $189 million and operating margin was 9.5% on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reported basis. On an adjusted basis, operating income was $218 million and operating margin was 11.0%, 70 basis points above the prior year. Operating income for the Company's reportable segments in the fourth quarter compared to the prior year period was as follows:</w:t>
      </w:r>
    </w:p>
    <w:p>
      <w:pPr>
        <w:spacing w:after="0" w:line="200" w:lineRule="exact"/>
        <w:rPr>
          <w:sz w:val="20"/>
          <w:szCs w:val="20"/>
          <w:color w:val="auto"/>
        </w:rPr>
      </w:pPr>
    </w:p>
    <w:p>
      <w:pPr>
        <w:ind w:left="660" w:right="720" w:hanging="328"/>
        <w:spacing w:after="0" w:line="287" w:lineRule="auto"/>
        <w:tabs>
          <w:tab w:leader="none" w:pos="65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 xml:space="preserve">North America Operating Income. </w:t>
      </w:r>
      <w:r>
        <w:rPr>
          <w:rFonts w:ascii="Times New Roman" w:cs="Times New Roman" w:eastAsia="Times New Roman" w:hAnsi="Times New Roman"/>
          <w:sz w:val="22"/>
          <w:szCs w:val="22"/>
          <w:color w:val="auto"/>
        </w:rPr>
        <w:t>North America operating income in the fourth quarter was $134 million. North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America operating margin was 17.6%, down 150 basis points to last year.</w:t>
      </w:r>
    </w:p>
    <w:p>
      <w:pPr>
        <w:spacing w:after="0" w:line="164" w:lineRule="exact"/>
        <w:rPr>
          <w:rFonts w:ascii="Times New Roman" w:cs="Times New Roman" w:eastAsia="Times New Roman" w:hAnsi="Times New Roman"/>
          <w:sz w:val="22"/>
          <w:szCs w:val="22"/>
          <w:b w:val="1"/>
          <w:bCs w:val="1"/>
          <w:color w:val="auto"/>
        </w:rPr>
      </w:pPr>
    </w:p>
    <w:p>
      <w:pPr>
        <w:jc w:val="both"/>
        <w:ind w:left="660" w:right="20" w:hanging="328"/>
        <w:spacing w:after="0" w:line="259"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Europe Operating Income. </w:t>
      </w:r>
      <w:r>
        <w:rPr>
          <w:rFonts w:ascii="Times New Roman" w:cs="Times New Roman" w:eastAsia="Times New Roman" w:hAnsi="Times New Roman"/>
          <w:sz w:val="22"/>
          <w:szCs w:val="22"/>
          <w:color w:val="auto"/>
        </w:rPr>
        <w:t>Europe operating income in the fourth quarter was $178 million. Europe operating margin was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28.7%, up 380 basis points to last year. Foreign currency favorably impacted operating margin rate by 260 basis points in the fourth quarter.</w:t>
      </w:r>
    </w:p>
    <w:p>
      <w:pPr>
        <w:spacing w:after="0" w:line="193" w:lineRule="exact"/>
        <w:rPr>
          <w:rFonts w:ascii="Times New Roman" w:cs="Times New Roman" w:eastAsia="Times New Roman" w:hAnsi="Times New Roman"/>
          <w:sz w:val="22"/>
          <w:szCs w:val="22"/>
          <w:color w:val="auto"/>
        </w:rPr>
      </w:pPr>
    </w:p>
    <w:p>
      <w:pPr>
        <w:ind w:left="660" w:right="60" w:hanging="328"/>
        <w:spacing w:after="0" w:line="265" w:lineRule="auto"/>
        <w:tabs>
          <w:tab w:leader="none" w:pos="65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 xml:space="preserve">Asia Operating Income. </w:t>
      </w:r>
      <w:r>
        <w:rPr>
          <w:rFonts w:ascii="Times New Roman" w:cs="Times New Roman" w:eastAsia="Times New Roman" w:hAnsi="Times New Roman"/>
          <w:sz w:val="22"/>
          <w:szCs w:val="22"/>
          <w:color w:val="auto"/>
        </w:rPr>
        <w:t>Asia operating income in the fourth quarter was $123 million. Asia operating margin was 21.9%,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up 250 basis points to last year. Foreign currency favorably impacted operating margin rate by 10 basis points in the fourth quarter.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1" w:right="359" w:bottom="1440" w:gutter="0" w:footer="0" w:header="0"/>
        </w:sectPr>
      </w:pPr>
    </w:p>
    <w:bookmarkStart w:id="6" w:name="page7"/>
    <w:bookmarkEnd w:id="6"/>
    <w:p>
      <w:pPr>
        <w:ind w:right="40"/>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Net Income and EPS. </w:t>
      </w:r>
      <w:r>
        <w:rPr>
          <w:rFonts w:ascii="Times New Roman" w:cs="Times New Roman" w:eastAsia="Times New Roman" w:hAnsi="Times New Roman"/>
          <w:sz w:val="22"/>
          <w:szCs w:val="22"/>
          <w:color w:val="auto"/>
        </w:rPr>
        <w:t>Net income in the fourth quarter of Fiscal 2026 was $152 million, or $2.45 per diluted share on a reported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basis. On an adjusted basis, net income was $174 million, or $2.80 per diluted share. This compared to net income of $129 million, or $2.03 per diluted share on a reported basis, and net income of $144 million, or $2.27 per diluted share on an adjusted basis, for the fourth quarter of Fiscal 2025.</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the fourth quarter of Fiscal 2026, the Company had an effective tax rate of approximately 21% on a reported basis and 22% on an adjusted basis. This compared to an effective tax rate of approximately 21% on both a reported and adjusted basis in the prior year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Full Year Fiscal 2026 Income Statement Review</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Net Revenue. </w:t>
      </w:r>
      <w:r>
        <w:rPr>
          <w:rFonts w:ascii="Times New Roman" w:cs="Times New Roman" w:eastAsia="Times New Roman" w:hAnsi="Times New Roman"/>
          <w:sz w:val="21"/>
          <w:szCs w:val="21"/>
          <w:color w:val="auto"/>
        </w:rPr>
        <w:t>For Fiscal 2026, revenue increased 15% to $8.1 billion on a reported basis and was up 12% in constant currency.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Foreign currency benefited revenue growth by approximately 280 basis points in the period.</w:t>
      </w:r>
    </w:p>
    <w:p>
      <w:pPr>
        <w:spacing w:after="0" w:line="21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i w:val="1"/>
          <w:iCs w:val="1"/>
          <w:color w:val="auto"/>
        </w:rPr>
        <w:t xml:space="preserve">North America Revenue. </w:t>
      </w:r>
      <w:r>
        <w:rPr>
          <w:rFonts w:ascii="Times New Roman" w:cs="Times New Roman" w:eastAsia="Times New Roman" w:hAnsi="Times New Roman"/>
          <w:sz w:val="22"/>
          <w:szCs w:val="22"/>
          <w:color w:val="auto"/>
        </w:rPr>
        <w:t>For Fiscal 2026, North America revenue increased 9% to $3.3 billion on a reported basis.</w:t>
      </w:r>
    </w:p>
    <w:p>
      <w:pPr>
        <w:spacing w:after="0" w:line="246" w:lineRule="exact"/>
        <w:rPr>
          <w:rFonts w:ascii="Times New Roman" w:cs="Times New Roman" w:eastAsia="Times New Roman" w:hAnsi="Times New Roman"/>
          <w:sz w:val="22"/>
          <w:szCs w:val="22"/>
          <w:b w:val="1"/>
          <w:bCs w:val="1"/>
          <w:i w:val="1"/>
          <w:iCs w:val="1"/>
          <w:color w:val="auto"/>
        </w:rPr>
      </w:pPr>
    </w:p>
    <w:p>
      <w:pPr>
        <w:ind w:left="660" w:hanging="328"/>
        <w:spacing w:after="0" w:line="275" w:lineRule="auto"/>
        <w:tabs>
          <w:tab w:leader="none" w:pos="655" w:val="left"/>
        </w:tabs>
        <w:numPr>
          <w:ilvl w:val="0"/>
          <w:numId w:val="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i w:val="1"/>
          <w:iCs w:val="1"/>
          <w:color w:val="auto"/>
        </w:rPr>
        <w:t xml:space="preserve">Europe Revenue. </w:t>
      </w:r>
      <w:r>
        <w:rPr>
          <w:rFonts w:ascii="Times New Roman" w:cs="Times New Roman" w:eastAsia="Times New Roman" w:hAnsi="Times New Roman"/>
          <w:sz w:val="22"/>
          <w:szCs w:val="22"/>
          <w:color w:val="auto"/>
        </w:rPr>
        <w:t>For Fiscal 2026, Europe revenue increased 17% to $2.5 billion on a reported basis. In 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 increased 9%.</w:t>
      </w:r>
    </w:p>
    <w:p>
      <w:pPr>
        <w:spacing w:after="0" w:line="176" w:lineRule="exact"/>
        <w:rPr>
          <w:rFonts w:ascii="Times New Roman" w:cs="Times New Roman" w:eastAsia="Times New Roman" w:hAnsi="Times New Roman"/>
          <w:sz w:val="22"/>
          <w:szCs w:val="22"/>
          <w:b w:val="1"/>
          <w:bCs w:val="1"/>
          <w:i w:val="1"/>
          <w:iCs w:val="1"/>
          <w:color w:val="auto"/>
        </w:rPr>
      </w:pPr>
    </w:p>
    <w:p>
      <w:pPr>
        <w:ind w:left="660" w:right="480" w:hanging="328"/>
        <w:spacing w:after="0" w:line="287"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Asia Revenue. </w:t>
      </w:r>
      <w:r>
        <w:rPr>
          <w:rFonts w:ascii="Times New Roman" w:cs="Times New Roman" w:eastAsia="Times New Roman" w:hAnsi="Times New Roman"/>
          <w:sz w:val="22"/>
          <w:szCs w:val="22"/>
          <w:color w:val="auto"/>
        </w:rPr>
        <w:t>For Fiscal 2026, Asia revenue increased 23% to $2.1 billion on a reported basis. In 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 increased 22%.</w:t>
      </w:r>
    </w:p>
    <w:p>
      <w:pPr>
        <w:spacing w:after="0" w:line="162" w:lineRule="exact"/>
        <w:rPr>
          <w:sz w:val="20"/>
          <w:szCs w:val="20"/>
          <w:color w:val="auto"/>
        </w:rPr>
      </w:pPr>
    </w:p>
    <w:p>
      <w:pPr>
        <w:jc w:val="both"/>
        <w:ind w:right="440"/>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Gross Profit. </w:t>
      </w:r>
      <w:r>
        <w:rPr>
          <w:rFonts w:ascii="Times New Roman" w:cs="Times New Roman" w:eastAsia="Times New Roman" w:hAnsi="Times New Roman"/>
          <w:sz w:val="22"/>
          <w:szCs w:val="22"/>
          <w:color w:val="auto"/>
        </w:rPr>
        <w:t>Gross profit for Fiscal 2026 was $5.7 billion on a reported basis and gross margin was 69.9%. Adjusted gross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margin was also 69.9%, 130 basis points above the prior year. Foreign currency benefited gross margin by 30 basis points in Fiscal 2026.</w:t>
      </w:r>
    </w:p>
    <w:p>
      <w:pPr>
        <w:spacing w:after="0" w:line="190"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Expenses. </w:t>
      </w:r>
      <w:r>
        <w:rPr>
          <w:rFonts w:ascii="Times New Roman" w:cs="Times New Roman" w:eastAsia="Times New Roman" w:hAnsi="Times New Roman"/>
          <w:sz w:val="22"/>
          <w:szCs w:val="22"/>
          <w:color w:val="auto"/>
        </w:rPr>
        <w:t>For Fiscal 2026, operating expenses were $4.5 billion on a reported basis, including $118 million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restructuring-related and other net charges. Adjusted operating expenses were $4.4 billion, up 13% to last year. Adjusted operating expense rate was 53.9%, 70 basis points below the prior year.</w:t>
      </w:r>
    </w:p>
    <w:p>
      <w:pPr>
        <w:spacing w:after="0" w:line="18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Operating Income. </w:t>
      </w:r>
      <w:r>
        <w:rPr>
          <w:rFonts w:ascii="Times New Roman" w:cs="Times New Roman" w:eastAsia="Times New Roman" w:hAnsi="Times New Roman"/>
          <w:sz w:val="22"/>
          <w:szCs w:val="22"/>
          <w:color w:val="auto"/>
        </w:rPr>
        <w:t>Operating income for Fiscal 2026 was $1.2 billion and operating margin was 14.5% on a reported basis.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 adjusted basis, operating income was $1.3 billion and operating margin was 16.0%, 200 basis points above the prior year. Operating income for the Company's reportable segments in Fiscal 2026 compared to the prior year was as follows:</w:t>
      </w:r>
    </w:p>
    <w:p>
      <w:pPr>
        <w:spacing w:after="0" w:line="206" w:lineRule="exact"/>
        <w:rPr>
          <w:sz w:val="20"/>
          <w:szCs w:val="20"/>
          <w:color w:val="auto"/>
        </w:rPr>
      </w:pPr>
    </w:p>
    <w:p>
      <w:pPr>
        <w:ind w:left="660" w:right="580" w:hanging="328"/>
        <w:spacing w:after="0" w:line="275"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North America Operating Income. </w:t>
      </w:r>
      <w:r>
        <w:rPr>
          <w:rFonts w:ascii="Times New Roman" w:cs="Times New Roman" w:eastAsia="Times New Roman" w:hAnsi="Times New Roman"/>
          <w:sz w:val="22"/>
          <w:szCs w:val="22"/>
          <w:color w:val="auto"/>
        </w:rPr>
        <w:t>North America operating income in Fiscal 2026 was $724 million and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margin was 21.8%, 80 basis points above last year.</w:t>
      </w:r>
    </w:p>
    <w:p>
      <w:pPr>
        <w:spacing w:after="0" w:line="176" w:lineRule="exact"/>
        <w:rPr>
          <w:rFonts w:ascii="Times New Roman" w:cs="Times New Roman" w:eastAsia="Times New Roman" w:hAnsi="Times New Roman"/>
          <w:sz w:val="22"/>
          <w:szCs w:val="22"/>
          <w:color w:val="auto"/>
        </w:rPr>
      </w:pPr>
    </w:p>
    <w:p>
      <w:pPr>
        <w:ind w:left="660" w:right="200" w:hanging="328"/>
        <w:spacing w:after="0" w:line="299" w:lineRule="auto"/>
        <w:tabs>
          <w:tab w:leader="none" w:pos="655"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i w:val="1"/>
          <w:iCs w:val="1"/>
          <w:color w:val="auto"/>
        </w:rPr>
        <w:t xml:space="preserve">Europe Operating Income. </w:t>
      </w:r>
      <w:r>
        <w:rPr>
          <w:rFonts w:ascii="Times New Roman" w:cs="Times New Roman" w:eastAsia="Times New Roman" w:hAnsi="Times New Roman"/>
          <w:sz w:val="21"/>
          <w:szCs w:val="21"/>
          <w:color w:val="auto"/>
        </w:rPr>
        <w:t>Europe operating income in Fiscal 2026 was $705 million and operating margin was 27.8%,</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180 basis points above last year. Foreign currency favorably impacted operating margin rate by 140 basis points.</w:t>
      </w:r>
    </w:p>
    <w:p>
      <w:pPr>
        <w:spacing w:after="0" w:line="154" w:lineRule="exact"/>
        <w:rPr>
          <w:rFonts w:ascii="Times New Roman" w:cs="Times New Roman" w:eastAsia="Times New Roman" w:hAnsi="Times New Roman"/>
          <w:sz w:val="21"/>
          <w:szCs w:val="21"/>
          <w:b w:val="1"/>
          <w:bCs w:val="1"/>
          <w:color w:val="auto"/>
        </w:rPr>
      </w:pPr>
    </w:p>
    <w:p>
      <w:pPr>
        <w:ind w:left="660" w:right="280" w:hanging="328"/>
        <w:spacing w:after="0" w:line="275"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Asia Operating Income. </w:t>
      </w:r>
      <w:r>
        <w:rPr>
          <w:rFonts w:ascii="Times New Roman" w:cs="Times New Roman" w:eastAsia="Times New Roman" w:hAnsi="Times New Roman"/>
          <w:sz w:val="22"/>
          <w:szCs w:val="22"/>
          <w:color w:val="auto"/>
        </w:rPr>
        <w:t>Asia operating income in Fiscal 2026 was $577 million and operating margin was 27.4%, 320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basis points above last year. Foreign currency negatively impacted operating margin rate by 20 basis points.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889" w:right="399" w:bottom="1440" w:gutter="0" w:footer="0" w:header="0"/>
        </w:sectPr>
      </w:pPr>
    </w:p>
    <w:bookmarkStart w:id="7" w:name="page8"/>
    <w:bookmarkEnd w:id="7"/>
    <w:p>
      <w:pPr>
        <w:ind w:right="100"/>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 xml:space="preserve">Net Income and EPS. </w:t>
      </w:r>
      <w:r>
        <w:rPr>
          <w:rFonts w:ascii="Times New Roman" w:cs="Times New Roman" w:eastAsia="Times New Roman" w:hAnsi="Times New Roman"/>
          <w:sz w:val="22"/>
          <w:szCs w:val="22"/>
          <w:color w:val="auto"/>
        </w:rPr>
        <w:t>In Fiscal 2026, net income was $941 million, or $15.11 per diluted share on a reported basis. On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adjusted basis, net income was $1.0 billion, or $16.59 per diluted share. This compared to net income of $743 million, or $11.61 per diluted share on a reported basis, and net income of $789 million, or $12.33 per diluted share on an adjusted basis for Fiscal 2025.</w:t>
      </w:r>
    </w:p>
    <w:p>
      <w:pPr>
        <w:spacing w:after="0" w:line="20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For Fiscal 2026, the Company had an effective tax rate of 20% on both a reported and adjusted basis. This compared to a tax rate of 22% on both a reported and adjusted basis for Fiscal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Balance Sheet and Cash Flow Review</w:t>
      </w:r>
    </w:p>
    <w:p>
      <w:pPr>
        <w:spacing w:after="0" w:line="25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2"/>
          <w:szCs w:val="22"/>
          <w:color w:val="auto"/>
        </w:rPr>
        <w:t>The Company ended Fiscal 2026 with $2.1 billion in cash and short-term investments and $1.2 billion in total debt, compared to $2.1 billion and $1.1 billion, respectively, at the end of Fiscal 2025. Inventory at the end of Fiscal 2026 was $1.0 billion, up 7% compared to the prior year period.</w:t>
      </w:r>
    </w:p>
    <w:p>
      <w:pPr>
        <w:spacing w:after="0" w:line="194"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22"/>
          <w:szCs w:val="22"/>
          <w:color w:val="auto"/>
        </w:rPr>
        <w:t>The Company had $408 million in capital expenditures in Fiscal 2026, compared to $216 million in the prior year period. The increase was primarily driven by select real estate purchases, investments in new store openings and renovations, digital enhancements, and technology.</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The Company repurchased approximately $500 million of Class A Common Stock in Fiscal 2026, with $1.4 billion remaining on its existing share repurchase plan at the end of the fiscal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Increase</w:t>
      </w:r>
    </w:p>
    <w:p>
      <w:pPr>
        <w:spacing w:after="0" w:line="2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Company announced that its Board of Directors approved a 10% increase in the regular quarterly cash dividend on the Company's Common Stock. The new quarterly cash dividend is $1.00 per share for a total annual dividend amount of $4.00 per share. The next quarterly dividend is expected to be paid on July 10, 2026 to shareholders of record at the close of business on June 26,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and Preliminary Full Year Fiscal 2027 Outlook</w:t>
      </w:r>
    </w:p>
    <w:p>
      <w:pPr>
        <w:spacing w:after="0" w:line="25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1"/>
          <w:szCs w:val="21"/>
          <w:color w:val="auto"/>
        </w:rPr>
        <w:t>The Company's outlook is based on its best assessment of the current geopolitical and macroeconomic environment, including tariffs, inflationary pressures, and other consumer spending-related headwinds, global supply chain disruptions, and foreign currency volatility, among other factors. The full year Fiscal 2027 and first quarter guidance excludes any potential restructuring-related and other net charges that may be incurred in future periods, as described in the "Non-U.S. GAAP Financial Measures" section of this press release. Given the high level of volatility in the current operating environment, this outlook is considered preliminary and subject to change as a result of ongoing macroeconomic developments and other considerations.</w:t>
      </w:r>
    </w:p>
    <w:p>
      <w:pPr>
        <w:spacing w:after="0" w:line="19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For Fiscal 2027, the Company expects constant currency revenues to increase approximately mid-single digits to last year on a 52-week comparable basis, centered around 4% to 5%.</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The Company expects operating margin for Fiscal 2027 to expand approximately 40 to 60 basis points in constant currency, driven by modest gross margin expansion and operating expense leverage. Gross and operating margin expansion are expected to be stronger in the first half of the fiscal year, largely due to the timing of key marketing activations compared to the prior year period and a lower prevailing tariff rate of 10% during the period.</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132" w:right="379" w:bottom="1440" w:gutter="0" w:footer="0" w:header="0"/>
        </w:sectPr>
      </w:pPr>
    </w:p>
    <w:bookmarkStart w:id="8" w:name="page9"/>
    <w:bookmarkEnd w:id="8"/>
    <w:p>
      <w:pPr>
        <w:ind w:right="200"/>
        <w:spacing w:after="0" w:line="271" w:lineRule="auto"/>
        <w:rPr>
          <w:sz w:val="20"/>
          <w:szCs w:val="20"/>
          <w:color w:val="auto"/>
        </w:rPr>
      </w:pPr>
      <w:r>
        <w:rPr>
          <w:rFonts w:ascii="Times New Roman" w:cs="Times New Roman" w:eastAsia="Times New Roman" w:hAnsi="Times New Roman"/>
          <w:sz w:val="22"/>
          <w:szCs w:val="22"/>
          <w:color w:val="auto"/>
        </w:rPr>
        <w:t>Based on current exchange rates, foreign currency is expected to have a roughly neutral impact on revenue, gross and operating margin in Fiscal 2027.</w:t>
      </w:r>
    </w:p>
    <w:p>
      <w:pPr>
        <w:spacing w:after="0" w:line="185"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22"/>
          <w:szCs w:val="22"/>
          <w:color w:val="auto"/>
        </w:rPr>
        <w:t>Fiscal 2027 is a 53-week year, with the 53rd week expected to contribute an additional 1 point to revenue growth and benefit operating margin slightly for the full fiscal year.</w:t>
      </w:r>
    </w:p>
    <w:p>
      <w:pPr>
        <w:spacing w:after="0" w:line="17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For the first quarter, the Company expects revenues to increase approximately mid- to high-single digits to last year on a constant currency basis.</w:t>
      </w:r>
    </w:p>
    <w:p>
      <w:pPr>
        <w:spacing w:after="0" w:line="1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Operating margin for the first quarter is expected to expand approximately 80 to 120 basis points in constant currency, led by gross margin expansion. Foreign currency is expected to have a roughly neutral impact on revenue, gross and operating margin in the first quarter.</w:t>
      </w:r>
    </w:p>
    <w:p>
      <w:pPr>
        <w:spacing w:after="0" w:line="19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The full year Fiscal 2027 tax rate is expected to be in the range of 21% to 22%, assuming a continuation of current tax laws. First quarter of Fiscal 2027 tax rate is expected to be approximately 22% to 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planning capital expenditures for Fiscal 2027 of approximately 4% to 5% of revenue.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As previously announced, the Company will host a conference call and live online webcast today, Thursday, May 21, 2026, at 9:00 A.M. Eastern. Listeners may access a live broadcast of the conference call on the Company investor relations website at http://investor.ralphlauren.com or by dialing 517-623-4963 or 800-857-5209. To access the conference call, listeners should dial in by 8:45 A.M. Eastern and request to be connected to the Ralph Lauren Fourth Quarter 2026 conference call.</w:t>
      </w: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An online archive of the broadcast will be available by accessing the Company's investor relations website at http://investor.ralphlauren.com. A telephone replay of the call will be available from 12:00 P.M. Eastern, Thursday, May 21, 2026 through 6:00 P.M. Eastern, Thursday, May 28, 2026 by dialing 203-369-0605 or 866-405-7293 and entering passcode 6743.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RALPH LAUREN</w:t>
      </w:r>
    </w:p>
    <w:p>
      <w:pPr>
        <w:spacing w:after="0" w:line="25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1"/>
          <w:szCs w:val="21"/>
          <w:color w:val="auto"/>
        </w:rPr>
        <w:t>Ralph Lauren Corporation (NYSE:RL) is a global leader in the design, marketing and distribution of luxury lifestyle products in five categories: apparel, handbags, footwear &amp; accessories, fragrances, home, and hospitality. For nearly 60 years, Ralph Lauren has sought to inspire the dream of a better life through authenticity and timeless style. Its reputation and distinctive image have been developed across a wide range of products, brands, distribution channels and international markets. The Company's brand names — which include Ralph Lauren, Ralph Lauren Collection, Ralph Lauren Purple Label, Double RL, Polo Ralph Lauren, Lauren Ralph Lauren, RLX Ralph Lauren, Polo Ralph Lauren Children and Chaps, among others — constitute one of the world's most widely recognized families of consumer brands. For more information, visit https://investor.ralphlauren.com.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2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This press release, and oral statements made from time to time by representatives of the Company, may contain certain "forward-looking statements" within the meaning of the Private Securities Litigation Reform Act of 1995. Forward-looking statements include, without limitation, statements regarding our current expectations about the Company's future operating results and financial condition, the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895" w:right="359" w:bottom="144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21"/>
          <w:szCs w:val="21"/>
          <w:color w:val="auto"/>
        </w:rPr>
        <w:t>implementation and results of our strategic plans and initiatives, store openings and closings, capital expenses, our plans regarding our quarterly cash dividend and Class A common stock repurchase programs, and our ability to meet citizenship and sustainability goals. Forward-looking statements are based on current expectations and are indicated by words or phrases such as "aim," "anticipate," "outlook," "estimate," "ensure," "commit," "expect," "project," "believe," "envision,"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The factors that could cause actual results to materially differ include, among others: the loss of key personnel, including Mr. Ralph Lauren, or other changes in our executive and senior management team or to our operating structure, including any potential changes resulting from the execution of our long-term growth strategy, and our ability to effectively transfer knowledge and maintain adequate controls and procedures during periods of transition; the impact to our business resulting from the potential imposition of additional tariffs, duties, or taxes, changes to existing trade agreements, and other charges or barriers to trade, including those recently imposed by the U.S. following the U.S. Supreme Court ruling against the tariffs previously announced under the authority of the International Emergency Economic Powers Act ("IEEPA") and resulting potential refund status of the IEEPA tariffs, any retaliatory measures implemented by impacted countries, and any related impact to global stock markets, foreign currency exchange rates, and existing inflationary pressures, as well as our ability to implement mitigating sourcing strategies; the potential impact to our business resulting from inflationary pressures, including increases in the costs of raw materials, transportation, wages, healthcare, and other benefit-related costs; the impact of economic, political, and other conditions on us, our customers, suppliers, vendors, and lenders, including potential business disruptions related to ongoing military conflicts taking place in various parts of the world, most notably the conflicts involving Iran and other ongoing hostilities in the Middle East, civil and political unrest, diplomatic tensions between the U.S. and other countries and any resulting anti-American sentiment, high interest rates, and bank failures, among other factors described herein; the impact to our business resulting from a prolonged slowdown in economic conditions or changes in consumers' ability, willingness, or preferences to purchase discretionary items and luxury retail products, which tends to decline during periods of economic weakness, and our ability to accurately forecast consumer demand, the failure of which could result in either a build-up or shortage of inventory; the potential impact to our business resulting from supply chain disruptions, including those caused by capacity constraints, closed factories and/or labor shortages (stemming from pandemic diseases, labor disputes, strikes, or otherwise), man-made or natural disasters, scarcity of raw materials, port congestion, and scrutiny or detention of goods produced in certain territories resulting from laws, regulations, or trade restrictions, such as those imposed by the Uyghur Forced Labor Prevention Act ("UFLPA") or the Countering America's Adversaries Through Sanctions Act ("CAATSA"), which could result in shipment approval delays leading to inventory shortages and lost sales, as well as potential shipping delays, inventory shortages, and/or higher freight and other operating costs resulting from port strikes, the recent Red Sea crisis, disruptions to major waterways such as the Suez and Panama canals and the Strait of Hormuz, and/or increases in oil and other energy prices; changes in our tax obligations and effective tax rate due to a variety of factors, including potential changes in U.S. or foreign tax laws and regulations, accounting rules, or the mix and level of earnings by jurisdiction in future periods that are not currently known or anticipated; our ability to effectively manage inventory levels and the increasing pressure on our margins in a highly promotional retail environment; our exposure to currency exchange rate fluctuations from both a transactional and translational perspective; our efforts to successfully enhance, upgrade, and/or transition our global information technology systems and digital commerce platforms; our ability and the ability of our third-party service providers to secure our respective facilities and systems from, among other things, cybersecurity breaches, acts of vandalism, computer viruses, ransomware, or similar Internet or email events; the potential impact on our business</w:t>
      </w: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5" w:right="33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21"/>
          <w:szCs w:val="21"/>
          <w:color w:val="auto"/>
        </w:rPr>
        <w:t>arising from developments and operational risks related to the implementation of artificial intelligence technologies and associated evolving regulatory requirements; our ability to recruit and retain qualified employees to operate our retail stores, distribution centers, and various corporate functions; our ability to successfully implement our long-term growth strategy; our ability to continue to expand and grow our business internationally and the impact of related changes in our customer, channel, and geographic sales mix as a result, as well as our ability to accelerate growth in certain product categories; our ability to open new retail stores and concession shops, as well as enhance and expand our digital footprint and capabilities, all in an effort to expand our direct-to-consumer presence; our ability to respond to constantly changing fashion and retail trends and consumer demands in a timely manner, develop products that resonate with our existing customers and attract new customers, and execute marketing and advertising programs that appeal to consumers; our ability to competitively price our products and create an acceptable value proposition for consumers; our ability to continue to maintain our brand image and reputation and protect our trademarks; our ability to achieve our goals regarding citizenship and sustainability practices, including those related to climate change, our human capital, and our supply chain, or if our stakeholders disagree with such goals; the potential impact to our business if any of our distribution centers were to become inoperable or inaccessible; the potential impact on our operations and on our suppliers and customers resulting from man-made or natural disasters, including pandemic diseases, severe weather, geological events, and other catastrophic events, such as terrorist attacks, military conflicts, and other hostilities; our ability to achieve anticipated operating enhancements and cost reductions from our strategic initiatives and restructuring plans, as well as the resulting impact to our business, which may be dilutive to our earnings in the short term; the impact to our business resulting from potential costs and obligations related to the early or temporary closure of our stores or termination of our long-term, non-cancellable leases; 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 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 our ability to access capital markets and maintain compliance with covenants associated with our existing debt instruments; a variety of legal, regulatory, tax, political, and economic risks, including risks related to the importation, exportation, and traceability and transparency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 the potential impact to the trading prices of our securities if our operating results, Class A common stock share repurchase activity, and/or cash dividend payments differ from investors' expectations; our ability to maintain our credit profile and ratings within the financial community; our intention to introduce new products or brands, or enter into or renew alliances; changes in the business of, and our relationships with, major wholesale customers and licensing partners; our ability to make strategic acquisitions and successfully integrate the acquired businesses into our existing operations; and other risk factors identified in the Company's Annual Report on Form 10-K, Form 10-Q and Form 8-K reports filed with the Securities and Exchange Commission. The Company undertakes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95" w:right="339" w:bottom="1440"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Prepared in accordance with U.S. Generally Accepted Accounting Principles</w:t>
      </w:r>
    </w:p>
    <w:p>
      <w:pPr>
        <w:spacing w:after="0" w:line="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360" w:type="dxa"/>
            <w:vAlign w:val="bottom"/>
          </w:tcPr>
          <w:p>
            <w:pPr>
              <w:spacing w:after="0"/>
              <w:rPr>
                <w:sz w:val="16"/>
                <w:szCs w:val="16"/>
                <w:color w:val="auto"/>
              </w:rPr>
            </w:pPr>
          </w:p>
        </w:tc>
        <w:tc>
          <w:tcPr>
            <w:tcW w:w="13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7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2"/>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80" w:type="dxa"/>
            <w:vAlign w:val="bottom"/>
          </w:tcPr>
          <w:p>
            <w:pPr>
              <w:spacing w:after="0"/>
              <w:rPr>
                <w:sz w:val="16"/>
                <w:szCs w:val="16"/>
                <w:color w:val="auto"/>
              </w:rPr>
            </w:pPr>
          </w:p>
        </w:tc>
      </w:tr>
      <w:tr>
        <w:trPr>
          <w:trHeight w:val="23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1"/>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1,988.0</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1,922.5</w:t>
            </w: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w:t>
            </w: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949.6</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receivable</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6"/>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w:t>
            </w:r>
          </w:p>
        </w:tc>
      </w:tr>
      <w:tr>
        <w:trPr>
          <w:trHeight w:val="227"/>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3,887.2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3,789.9</w:t>
            </w: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846.4</w:t>
            </w:r>
          </w:p>
        </w:tc>
      </w:tr>
      <w:tr>
        <w:trPr>
          <w:trHeight w:val="23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1,299.6</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1,013.1</w:t>
            </w: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335.4</w:t>
            </w:r>
          </w:p>
        </w:tc>
      </w:tr>
      <w:tr>
        <w:trPr>
          <w:trHeight w:val="23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888.5</w:t>
            </w: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r>
      <w:tr>
        <w:trPr>
          <w:trHeight w:val="227"/>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7,739.5</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7,047.3</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29"/>
        </w:trPr>
        <w:tc>
          <w:tcPr>
            <w:tcW w:w="7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436.0</w:t>
            </w: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income tax payable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w:t>
            </w:r>
          </w:p>
        </w:tc>
      </w:tr>
      <w:tr>
        <w:trPr>
          <w:trHeight w:val="226"/>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926.1</w:t>
            </w:r>
          </w:p>
        </w:tc>
      </w:tr>
      <w:tr>
        <w:trPr>
          <w:trHeight w:val="227"/>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2,133.7</w:t>
            </w: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r>
      <w:tr>
        <w:trPr>
          <w:trHeight w:val="23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finance lease liabilities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r>
      <w:tr>
        <w:trPr>
          <w:trHeight w:val="226"/>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1,044.7</w:t>
            </w:r>
          </w:p>
        </w:tc>
      </w:tr>
      <w:tr>
        <w:trPr>
          <w:trHeight w:val="23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liability for unrecognized tax benefits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w:t>
            </w:r>
          </w:p>
        </w:tc>
      </w:tr>
      <w:tr>
        <w:trPr>
          <w:trHeight w:val="226"/>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2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4,458.8</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1"/>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3,031.7</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8,310.6</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7,590.1</w:t>
            </w:r>
          </w:p>
        </w:tc>
      </w:tr>
      <w:tr>
        <w:trPr>
          <w:trHeight w:val="226"/>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Treasury stock, Class A, at cost</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(8,361.9)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(7,734.7)</w:t>
            </w:r>
          </w:p>
        </w:tc>
      </w:tr>
      <w:tr>
        <w:trPr>
          <w:trHeight w:val="23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w:t>
            </w:r>
          </w:p>
        </w:tc>
      </w:tr>
      <w:tr>
        <w:trPr>
          <w:trHeight w:val="21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2,588.5</w:t>
            </w:r>
          </w:p>
        </w:tc>
      </w:tr>
      <w:tr>
        <w:trPr>
          <w:trHeight w:val="25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7,739.5</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229"/>
        </w:trPr>
        <w:tc>
          <w:tcPr>
            <w:tcW w:w="75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Net Cash &amp; Short-term Investments</w:t>
            </w:r>
            <w:r>
              <w:rPr>
                <w:rFonts w:ascii="Times New Roman" w:cs="Times New Roman" w:eastAsia="Times New Roman" w:hAnsi="Times New Roman"/>
                <w:sz w:val="22"/>
                <w:szCs w:val="22"/>
                <w:b w:val="1"/>
                <w:bCs w:val="1"/>
                <w:color w:val="auto"/>
                <w:vertAlign w:val="superscript"/>
              </w:rPr>
              <w:t>(a)</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940.4</w:t>
            </w:r>
          </w:p>
        </w:tc>
      </w:tr>
      <w:tr>
        <w:trPr>
          <w:trHeight w:val="22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&amp; Short-term Investments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32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343" w:lineRule="exact"/>
        <w:rPr>
          <w:sz w:val="20"/>
          <w:szCs w:val="20"/>
          <w:color w:val="auto"/>
        </w:rPr>
      </w:pPr>
    </w:p>
    <w:p>
      <w:pPr>
        <w:ind w:left="5532" w:right="5040" w:hanging="5532"/>
        <w:spacing w:after="0" w:line="511" w:lineRule="auto"/>
        <w:tabs>
          <w:tab w:leader="none" w:pos="394"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Calculated as cash and cash equivalents, plus short-term investments, less total debt. 9</w:t>
      </w:r>
    </w:p>
    <w:p>
      <w:pPr>
        <w:sectPr>
          <w:pgSz w:w="11900" w:h="16838" w:orient="portrait"/>
          <w:cols w:equalWidth="0" w:num="1">
            <w:col w:w="11212"/>
          </w:cols>
          <w:pgMar w:left="328" w:top="1022"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Prepared in accordance with U.S. Generally Accepted Accounting Principles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5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52"/>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1"/>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7,079.0</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4,852.9</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operating expenses,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(3,920.8)</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0.9125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0.825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60" w:top="981"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Prepared in accordance with U.S. Generally Accepted Accounting Principles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300" w:type="dxa"/>
            <w:vAlign w:val="bottom"/>
          </w:tcPr>
          <w:p>
            <w:pPr>
              <w:spacing w:after="0"/>
              <w:rPr>
                <w:sz w:val="13"/>
                <w:szCs w:val="13"/>
                <w:color w:val="auto"/>
              </w:rPr>
            </w:pPr>
          </w:p>
        </w:tc>
        <w:tc>
          <w:tcPr>
            <w:tcW w:w="1140" w:type="dxa"/>
            <w:vAlign w:val="bottom"/>
          </w:tcPr>
          <w:p>
            <w:pPr>
              <w:jc w:val="right"/>
              <w:ind w:right="275"/>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941.1</w:t>
            </w:r>
          </w:p>
        </w:tc>
        <w:tc>
          <w:tcPr>
            <w:tcW w:w="16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Bad debt expense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non-cash charges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26"/>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0" w:type="dxa"/>
            <w:vAlign w:val="bottom"/>
          </w:tcPr>
          <w:p>
            <w:pPr>
              <w:spacing w:after="0"/>
              <w:rPr>
                <w:sz w:val="1"/>
                <w:szCs w:val="1"/>
                <w:color w:val="auto"/>
              </w:rPr>
            </w:pPr>
          </w:p>
        </w:tc>
      </w:tr>
      <w:tr>
        <w:trPr>
          <w:trHeight w:val="226"/>
        </w:trPr>
        <w:tc>
          <w:tcPr>
            <w:tcW w:w="8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 receivables and payables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right-of-use assets and liabilities, net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6"/>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balance sheet changes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1,235.1</w:t>
            </w:r>
          </w:p>
        </w:tc>
        <w:tc>
          <w:tcPr>
            <w:tcW w:w="0" w:type="dxa"/>
            <w:vAlign w:val="bottom"/>
          </w:tcPr>
          <w:p>
            <w:pPr>
              <w:spacing w:after="0"/>
              <w:rPr>
                <w:sz w:val="1"/>
                <w:szCs w:val="1"/>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w:t>
            </w: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(781.8)</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734.3</w:t>
            </w: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Acquisitions of intangible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(264.1)</w:t>
            </w:r>
          </w:p>
        </w:tc>
        <w:tc>
          <w:tcPr>
            <w:tcW w:w="0" w:type="dxa"/>
            <w:vAlign w:val="bottom"/>
          </w:tcPr>
          <w:p>
            <w:pPr>
              <w:spacing w:after="0"/>
              <w:rPr>
                <w:sz w:val="1"/>
                <w:szCs w:val="1"/>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finance lease obligations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dividends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0" w:type="dxa"/>
            <w:vAlign w:val="bottom"/>
          </w:tcPr>
          <w:p>
            <w:pPr>
              <w:spacing w:after="0"/>
              <w:rPr>
                <w:sz w:val="1"/>
                <w:szCs w:val="1"/>
                <w:color w:val="auto"/>
              </w:rPr>
            </w:pPr>
          </w:p>
        </w:tc>
      </w:tr>
      <w:tr>
        <w:trPr>
          <w:trHeight w:val="226"/>
        </w:trPr>
        <w:tc>
          <w:tcPr>
            <w:tcW w:w="8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Repurchases of common stock, including shares surrendered for tax withholdings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(704.0)</w:t>
            </w:r>
          </w:p>
        </w:tc>
        <w:tc>
          <w:tcPr>
            <w:tcW w:w="0" w:type="dxa"/>
            <w:vAlign w:val="bottom"/>
          </w:tcPr>
          <w:p>
            <w:pPr>
              <w:spacing w:after="0"/>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9"/>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1,670.6</w:t>
            </w:r>
          </w:p>
        </w:tc>
        <w:tc>
          <w:tcPr>
            <w:tcW w:w="0" w:type="dxa"/>
            <w:vAlign w:val="bottom"/>
          </w:tcPr>
          <w:p>
            <w:pPr>
              <w:spacing w:after="0"/>
              <w:rPr>
                <w:sz w:val="1"/>
                <w:szCs w:val="1"/>
                <w:color w:val="auto"/>
              </w:rPr>
            </w:pPr>
          </w:p>
        </w:tc>
      </w:tr>
      <w:tr>
        <w:trPr>
          <w:trHeight w:val="227"/>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1,929.4</w:t>
            </w:r>
          </w:p>
        </w:tc>
        <w:tc>
          <w:tcPr>
            <w:tcW w:w="0" w:type="dxa"/>
            <w:vAlign w:val="bottom"/>
          </w:tcPr>
          <w:p>
            <w:pPr>
              <w:spacing w:after="0"/>
              <w:rPr>
                <w:sz w:val="1"/>
                <w:szCs w:val="1"/>
                <w:color w:val="auto"/>
              </w:rPr>
            </w:pPr>
          </w:p>
        </w:tc>
      </w:tr>
      <w:tr>
        <w:trPr>
          <w:trHeight w:val="21"/>
        </w:trPr>
        <w:tc>
          <w:tcPr>
            <w:tcW w:w="816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22" w:right="35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32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3,329.6</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0" w:type="dxa"/>
            <w:vAlign w:val="bottom"/>
          </w:tcPr>
          <w:p>
            <w:pPr>
              <w:spacing w:after="0"/>
              <w:rPr>
                <w:sz w:val="1"/>
                <w:szCs w:val="1"/>
                <w:color w:val="auto"/>
              </w:rPr>
            </w:pPr>
          </w:p>
        </w:tc>
      </w:tr>
      <w:tr>
        <w:trPr>
          <w:trHeight w:val="230"/>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1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7,079.0</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29"/>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29"/>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expenses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1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3"/>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income</w:t>
            </w:r>
          </w:p>
        </w:tc>
        <w:tc>
          <w:tcPr>
            <w:tcW w:w="1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022"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CONSTANT CURRENCY FINANCIAL MEASURES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Comparable Store Sales Data</w:t>
      </w:r>
    </w:p>
    <w:p>
      <w:pPr>
        <w:spacing w:after="0" w:line="137" w:lineRule="exact"/>
        <w:rPr>
          <w:sz w:val="20"/>
          <w:szCs w:val="20"/>
          <w:color w:val="auto"/>
        </w:rPr>
      </w:pPr>
    </w:p>
    <w:tbl>
      <w:tblPr>
        <w:tblLayout w:type="fixed"/>
        <w:tblInd w:w="3460" w:type="dxa"/>
        <w:tblCellMar>
          <w:top w:w="0" w:type="dxa"/>
          <w:left w:w="0" w:type="dxa"/>
          <w:bottom w:w="0" w:type="dxa"/>
          <w:right w:w="0" w:type="dxa"/>
        </w:tblCellMar>
      </w:tblPr>
      <w:tr>
        <w:trPr>
          <w:trHeight w:val="215"/>
        </w:trPr>
        <w:tc>
          <w:tcPr>
            <w:tcW w:w="14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2026</w:t>
            </w:r>
          </w:p>
        </w:tc>
      </w:tr>
      <w:tr>
        <w:trPr>
          <w:trHeight w:val="158"/>
        </w:trPr>
        <w:tc>
          <w:tcPr>
            <w:tcW w:w="1480" w:type="dxa"/>
            <w:vAlign w:val="bottom"/>
          </w:tcPr>
          <w:p>
            <w:pPr>
              <w:jc w:val="center"/>
              <w:ind w:left="33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2620" w:type="dxa"/>
            <w:vAlign w:val="bottom"/>
          </w:tcPr>
          <w:p>
            <w:pPr>
              <w:jc w:val="center"/>
              <w:ind w:left="559"/>
              <w:spacing w:after="0" w:line="158" w:lineRule="exact"/>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212"/>
        </w:trPr>
        <w:tc>
          <w:tcPr>
            <w:tcW w:w="14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62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2540</wp:posOffset>
            </wp:positionV>
            <wp:extent cx="2606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15" w:lineRule="exact"/>
        <w:rPr>
          <w:sz w:val="20"/>
          <w:szCs w:val="20"/>
          <w:color w:val="auto"/>
        </w:rPr>
      </w:pPr>
    </w:p>
    <w:p>
      <w:pPr>
        <w:ind w:left="4280" w:hanging="211"/>
        <w:spacing w:after="0"/>
        <w:tabs>
          <w:tab w:leader="none" w:pos="42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w:t>
      </w:r>
    </w:p>
    <w:p>
      <w:pPr>
        <w:spacing w:after="0" w:line="32" w:lineRule="exact"/>
        <w:rPr>
          <w:rFonts w:ascii="Times New Roman" w:cs="Times New Roman" w:eastAsia="Times New Roman" w:hAnsi="Times New Roman"/>
          <w:sz w:val="16"/>
          <w:szCs w:val="16"/>
          <w:b w:val="1"/>
          <w:bCs w:val="1"/>
          <w:color w:val="auto"/>
        </w:rPr>
      </w:pPr>
    </w:p>
    <w:p>
      <w:pPr>
        <w:ind w:left="37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Constant Currency</w:t>
      </w:r>
    </w:p>
    <w:p>
      <w:pPr>
        <w:spacing w:after="0" w:line="20" w:lineRule="exact"/>
        <w:rPr>
          <w:sz w:val="20"/>
          <w:szCs w:val="20"/>
          <w:color w:val="auto"/>
        </w:rPr>
      </w:pPr>
      <w:r>
        <w:rPr>
          <w:sz w:val="20"/>
          <w:szCs w:val="20"/>
          <w:color w:val="auto"/>
        </w:rPr>
        <w:br w:type="column"/>
      </w:r>
    </w:p>
    <w:p>
      <w:pPr>
        <w:ind w:left="500" w:hanging="198"/>
        <w:spacing w:after="0"/>
        <w:tabs>
          <w:tab w:leader="none" w:pos="5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w:t>
      </w:r>
    </w:p>
    <w:p>
      <w:pPr>
        <w:spacing w:after="0" w:line="32"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Constant Currency</w:t>
      </w:r>
    </w:p>
    <w:p>
      <w:pPr>
        <w:spacing w:after="0" w:line="28" w:lineRule="exact"/>
        <w:rPr>
          <w:sz w:val="20"/>
          <w:szCs w:val="20"/>
          <w:color w:val="auto"/>
        </w:rPr>
      </w:pPr>
    </w:p>
    <w:p>
      <w:pPr>
        <w:sectPr>
          <w:pgSz w:w="11900" w:h="16838" w:orient="portrait"/>
          <w:cols w:equalWidth="0" w:num="2">
            <w:col w:w="5180" w:space="720"/>
            <w:col w:w="534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30"/>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commerce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Brick and mortar</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North America</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4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Digital commerce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Brick and mortar</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Europe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commerce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Brick and mortar</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Asia</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460" w:type="dxa"/>
            <w:vAlign w:val="bottom"/>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18"/>
                <w:szCs w:val="18"/>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Ralph Lauren Corporation</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 Net Revenues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40" w:type="dxa"/>
            <w:vAlign w:val="bottom"/>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80" w:type="dxa"/>
            <w:vAlign w:val="bottom"/>
          </w:tcPr>
          <w:p>
            <w:pPr>
              <w:spacing w:after="0"/>
              <w:rPr>
                <w:sz w:val="18"/>
                <w:szCs w:val="18"/>
                <w:color w:val="auto"/>
              </w:rPr>
            </w:pPr>
          </w:p>
        </w:tc>
      </w:tr>
      <w:tr>
        <w:trPr>
          <w:trHeight w:val="158"/>
        </w:trPr>
        <w:tc>
          <w:tcPr>
            <w:tcW w:w="34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3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60" w:type="dxa"/>
            <w:vAlign w:val="bottom"/>
          </w:tcPr>
          <w:p>
            <w:pPr>
              <w:spacing w:after="0"/>
              <w:rPr>
                <w:sz w:val="13"/>
                <w:szCs w:val="13"/>
                <w:color w:val="auto"/>
              </w:rPr>
            </w:pPr>
          </w:p>
        </w:tc>
        <w:tc>
          <w:tcPr>
            <w:tcW w:w="2240" w:type="dxa"/>
            <w:vAlign w:val="bottom"/>
            <w:tcBorders>
              <w:top w:val="single" w:sz="8" w:color="auto"/>
            </w:tcBorders>
            <w:gridSpan w:val="3"/>
          </w:tcPr>
          <w:p>
            <w:pPr>
              <w:jc w:val="center"/>
              <w:ind w:right="580"/>
              <w:spacing w:after="0" w:line="158" w:lineRule="exact"/>
              <w:rPr>
                <w:sz w:val="20"/>
                <w:szCs w:val="20"/>
                <w:color w:val="auto"/>
              </w:rPr>
            </w:pPr>
            <w:r>
              <w:rPr>
                <w:rFonts w:ascii="Times New Roman" w:cs="Times New Roman" w:eastAsia="Times New Roman" w:hAnsi="Times New Roman"/>
                <w:sz w:val="16"/>
                <w:szCs w:val="16"/>
                <w:b w:val="1"/>
                <w:bCs w:val="1"/>
                <w:color w:val="auto"/>
              </w:rPr>
              <w:t>As</w:t>
            </w:r>
          </w:p>
        </w:tc>
        <w:tc>
          <w:tcPr>
            <w:tcW w:w="1280" w:type="dxa"/>
            <w:vAlign w:val="bottom"/>
            <w:tcBorders>
              <w:top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22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2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2"/>
        </w:trPr>
        <w:tc>
          <w:tcPr>
            <w:tcW w:w="34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8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704.7</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525.5</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431.6</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1,697.3</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376"/>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2240" w:type="dxa"/>
            <w:vAlign w:val="bottom"/>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80" w:type="dxa"/>
            <w:vAlign w:val="bottom"/>
          </w:tcPr>
          <w:p>
            <w:pPr>
              <w:spacing w:after="0"/>
              <w:rPr>
                <w:sz w:val="24"/>
                <w:szCs w:val="24"/>
                <w:color w:val="auto"/>
              </w:rPr>
            </w:pPr>
          </w:p>
        </w:tc>
      </w:tr>
      <w:tr>
        <w:trPr>
          <w:trHeight w:val="158"/>
        </w:trPr>
        <w:tc>
          <w:tcPr>
            <w:tcW w:w="34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3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60" w:type="dxa"/>
            <w:vAlign w:val="bottom"/>
          </w:tcPr>
          <w:p>
            <w:pPr>
              <w:spacing w:after="0"/>
              <w:rPr>
                <w:sz w:val="13"/>
                <w:szCs w:val="13"/>
                <w:color w:val="auto"/>
              </w:rPr>
            </w:pPr>
          </w:p>
        </w:tc>
        <w:tc>
          <w:tcPr>
            <w:tcW w:w="2240" w:type="dxa"/>
            <w:vAlign w:val="bottom"/>
            <w:tcBorders>
              <w:top w:val="single" w:sz="8" w:color="auto"/>
            </w:tcBorders>
            <w:gridSpan w:val="3"/>
          </w:tcPr>
          <w:p>
            <w:pPr>
              <w:jc w:val="center"/>
              <w:ind w:right="580"/>
              <w:spacing w:after="0" w:line="158" w:lineRule="exact"/>
              <w:rPr>
                <w:sz w:val="20"/>
                <w:szCs w:val="20"/>
                <w:color w:val="auto"/>
              </w:rPr>
            </w:pPr>
            <w:r>
              <w:rPr>
                <w:rFonts w:ascii="Times New Roman" w:cs="Times New Roman" w:eastAsia="Times New Roman" w:hAnsi="Times New Roman"/>
                <w:sz w:val="16"/>
                <w:szCs w:val="16"/>
                <w:b w:val="1"/>
                <w:bCs w:val="1"/>
                <w:color w:val="auto"/>
              </w:rPr>
              <w:t>As</w:t>
            </w:r>
          </w:p>
        </w:tc>
        <w:tc>
          <w:tcPr>
            <w:tcW w:w="1280" w:type="dxa"/>
            <w:vAlign w:val="bottom"/>
            <w:tcBorders>
              <w:top w:val="single" w:sz="8" w:color="auto"/>
            </w:tcBorders>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224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2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192"/>
        </w:trPr>
        <w:tc>
          <w:tcPr>
            <w:tcW w:w="34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3,329.6</w:t>
            </w:r>
          </w:p>
        </w:tc>
        <w:tc>
          <w:tcPr>
            <w:tcW w:w="8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3,050.1</w:t>
            </w: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2,174.9</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1,709.4</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3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7,079.0</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40"/>
          </w:cols>
          <w:pgMar w:left="320" w:top="92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REVENUES BY SALES CHANNEL</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28, 2026</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North</w:t>
            </w:r>
          </w:p>
        </w:tc>
        <w:tc>
          <w:tcPr>
            <w:tcW w:w="120" w:type="dxa"/>
            <w:vAlign w:val="bottom"/>
          </w:tcPr>
          <w:p>
            <w:pPr>
              <w:spacing w:after="0"/>
              <w:rPr>
                <w:sz w:val="13"/>
                <w:szCs w:val="13"/>
                <w:color w:val="auto"/>
              </w:rPr>
            </w:pPr>
          </w:p>
        </w:tc>
        <w:tc>
          <w:tcPr>
            <w:tcW w:w="6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6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North</w:t>
            </w:r>
          </w:p>
        </w:tc>
        <w:tc>
          <w:tcPr>
            <w:tcW w:w="140" w:type="dxa"/>
            <w:vAlign w:val="bottom"/>
          </w:tcPr>
          <w:p>
            <w:pPr>
              <w:spacing w:after="0"/>
              <w:rPr>
                <w:sz w:val="13"/>
                <w:szCs w:val="13"/>
                <w:color w:val="auto"/>
              </w:rPr>
            </w:pPr>
          </w:p>
        </w:tc>
        <w:tc>
          <w:tcPr>
            <w:tcW w:w="6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4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3"/>
                <w:szCs w:val="13"/>
                <w:color w:val="auto"/>
              </w:rPr>
            </w:pPr>
          </w:p>
        </w:tc>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Channel:</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Wholesale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Licensing</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37"/>
        </w:trPr>
        <w:tc>
          <w:tcPr>
            <w:tcW w:w="1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1,697.3</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28, 2026</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North</w:t>
            </w:r>
          </w:p>
        </w:tc>
        <w:tc>
          <w:tcPr>
            <w:tcW w:w="120" w:type="dxa"/>
            <w:vAlign w:val="bottom"/>
          </w:tcPr>
          <w:p>
            <w:pPr>
              <w:spacing w:after="0"/>
              <w:rPr>
                <w:sz w:val="13"/>
                <w:szCs w:val="13"/>
                <w:color w:val="auto"/>
              </w:rPr>
            </w:pPr>
          </w:p>
        </w:tc>
        <w:tc>
          <w:tcPr>
            <w:tcW w:w="6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6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9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North</w:t>
            </w:r>
          </w:p>
        </w:tc>
        <w:tc>
          <w:tcPr>
            <w:tcW w:w="140" w:type="dxa"/>
            <w:vAlign w:val="bottom"/>
          </w:tcPr>
          <w:p>
            <w:pPr>
              <w:spacing w:after="0"/>
              <w:rPr>
                <w:sz w:val="13"/>
                <w:szCs w:val="13"/>
                <w:color w:val="auto"/>
              </w:rPr>
            </w:pPr>
          </w:p>
        </w:tc>
        <w:tc>
          <w:tcPr>
            <w:tcW w:w="6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Asia</w:t>
            </w:r>
          </w:p>
        </w:tc>
        <w:tc>
          <w:tcPr>
            <w:tcW w:w="14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3"/>
                <w:szCs w:val="13"/>
                <w:color w:val="auto"/>
              </w:rPr>
            </w:pPr>
          </w:p>
        </w:tc>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Channel:</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4,770.1</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Wholesale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2,164.3</w:t>
            </w:r>
          </w:p>
        </w:tc>
        <w:tc>
          <w:tcPr>
            <w:tcW w:w="0" w:type="dxa"/>
            <w:vAlign w:val="bottom"/>
          </w:tcPr>
          <w:p>
            <w:pPr>
              <w:spacing w:after="0"/>
              <w:rPr>
                <w:sz w:val="1"/>
                <w:szCs w:val="1"/>
                <w:color w:val="auto"/>
              </w:rPr>
            </w:pPr>
          </w:p>
        </w:tc>
      </w:tr>
      <w:tr>
        <w:trPr>
          <w:trHeight w:val="213"/>
        </w:trPr>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Licensing</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37"/>
        </w:trPr>
        <w:tc>
          <w:tcPr>
            <w:tcW w:w="1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7,079.0</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22"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 RETAIL STORE NETWORK</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8820" w:type="dxa"/>
            <w:vAlign w:val="bottom"/>
            <w:gridSpan w:val="7"/>
          </w:tcPr>
          <w:p>
            <w:pPr>
              <w:ind w:left="82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1180" w:type="dxa"/>
            <w:vAlign w:val="bottom"/>
            <w:tcBorders>
              <w:top w:val="single" w:sz="8" w:color="CCEEFF"/>
              <w:bottom w:val="single" w:sz="8" w:color="auto"/>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North America</w:t>
            </w:r>
          </w:p>
        </w:tc>
        <w:tc>
          <w:tcPr>
            <w:tcW w:w="64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Ralph Lauren Stores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Outlet Stores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7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8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29"/>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Concessions</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10"/>
        </w:trPr>
        <w:tc>
          <w:tcPr>
            <w:tcW w:w="5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Europe</w:t>
            </w:r>
          </w:p>
        </w:tc>
        <w:tc>
          <w:tcPr>
            <w:tcW w:w="8240" w:type="dxa"/>
            <w:vAlign w:val="bottom"/>
            <w:tcBorders>
              <w:bottom w:val="single" w:sz="8" w:color="CCEEFF"/>
            </w:tcBorders>
            <w:gridSpan w:val="5"/>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29"/>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Ralph Lauren Stores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Outlet Stores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r>
      <w:tr>
        <w:trPr>
          <w:trHeight w:val="230"/>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Concessions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89"/>
        </w:trPr>
        <w:tc>
          <w:tcPr>
            <w:tcW w:w="882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Asia</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1"/>
        </w:trPr>
        <w:tc>
          <w:tcPr>
            <w:tcW w:w="3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Ralph Lauren Stores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Outlet Stores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7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8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r>
      <w:tr>
        <w:trPr>
          <w:trHeight w:val="230"/>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Concessions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70"/>
        </w:trPr>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10"/>
        </w:trPr>
        <w:tc>
          <w:tcPr>
            <w:tcW w:w="3800" w:type="dxa"/>
            <w:vAlign w:val="bottom"/>
            <w:tcBorders>
              <w:bottom w:val="single" w:sz="8" w:color="auto"/>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Global Directly Operated Stores and Concessions</w:t>
            </w:r>
          </w:p>
        </w:tc>
        <w:tc>
          <w:tcPr>
            <w:tcW w:w="502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30"/>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Ralph Lauren Stores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Outlet Stores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7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Total Directly Operated Stores</w:t>
            </w:r>
          </w:p>
        </w:tc>
        <w:tc>
          <w:tcPr>
            <w:tcW w:w="1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r>
      <w:tr>
        <w:trPr>
          <w:trHeight w:val="229"/>
        </w:trPr>
        <w:tc>
          <w:tcPr>
            <w:tcW w:w="8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Concessions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70"/>
        </w:trPr>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10"/>
        </w:trPr>
        <w:tc>
          <w:tcPr>
            <w:tcW w:w="2420" w:type="dxa"/>
            <w:vAlign w:val="bottom"/>
            <w:tcBorders>
              <w:bottom w:val="single" w:sz="8" w:color="auto"/>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Global Licensed Partner Stores</w:t>
            </w:r>
          </w:p>
        </w:tc>
        <w:tc>
          <w:tcPr>
            <w:tcW w:w="6400" w:type="dxa"/>
            <w:vAlign w:val="bottom"/>
            <w:tcBorders>
              <w:bottom w:val="single" w:sz="8" w:color="CCEEFF"/>
            </w:tcBorders>
            <w:gridSpan w:val="3"/>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34"/>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Licensed Partner Stores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1022" w:right="4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March 28, 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7"/>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115"/>
              <w:spacing w:after="0" w:line="15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Reported $ Basis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115"/>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4"/>
                <w:szCs w:val="14"/>
                <w:color w:val="auto"/>
              </w:rPr>
            </w:pPr>
          </w:p>
        </w:tc>
        <w:tc>
          <w:tcPr>
            <w:tcW w:w="140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Constant $ Basis</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Reported $ Basis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Constant $ Basis</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100" w:type="dxa"/>
            <w:vAlign w:val="bottom"/>
          </w:tcPr>
          <w:p>
            <w:pPr>
              <w:spacing w:after="0"/>
              <w:rPr>
                <w:sz w:val="18"/>
                <w:szCs w:val="18"/>
                <w:color w:val="auto"/>
              </w:rPr>
            </w:pPr>
          </w:p>
        </w:tc>
        <w:tc>
          <w:tcPr>
            <w:tcW w:w="1400" w:type="dxa"/>
            <w:vAlign w:val="bottom"/>
            <w:gridSpan w:val="5"/>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10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revenues by segment:</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North America</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93"/>
              </w:rPr>
              <w:t>761.2</w:t>
            </w:r>
          </w:p>
        </w:tc>
        <w:tc>
          <w:tcPr>
            <w:tcW w:w="100" w:type="dxa"/>
            <w:vAlign w:val="bottom"/>
          </w:tcPr>
          <w:p>
            <w:pPr>
              <w:spacing w:after="0"/>
              <w:rPr>
                <w:sz w:val="19"/>
                <w:szCs w:val="19"/>
                <w:color w:val="auto"/>
              </w:rPr>
            </w:pPr>
          </w:p>
        </w:tc>
        <w:tc>
          <w:tcPr>
            <w:tcW w:w="660" w:type="dxa"/>
            <w:vAlign w:val="bottom"/>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3,329.6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Europe</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93"/>
              </w:rPr>
              <w:t>558.3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2,538.9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Asia</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93"/>
              </w:rPr>
              <w:t>550.6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2,103.5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non-reportable segments</w:t>
            </w: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142.5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1,902.8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8,114.5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right"/>
              <w:ind w:right="56"/>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rPr>
              <w:t>1,165.3</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5,669.2</w:t>
            </w:r>
          </w:p>
        </w:tc>
        <w:tc>
          <w:tcPr>
            <w:tcW w:w="80" w:type="dxa"/>
            <w:vAlign w:val="bottom"/>
          </w:tcPr>
          <w:p>
            <w:pPr>
              <w:spacing w:after="0"/>
              <w:rPr>
                <w:sz w:val="19"/>
                <w:szCs w:val="19"/>
                <w:color w:val="auto"/>
              </w:rPr>
            </w:pP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4,852.9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impact</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(66.1)</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(163.4)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constant currency</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1,312.7</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5,505.8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Gross profit margin</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68.6%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68.6%</w:t>
            </w:r>
          </w:p>
        </w:tc>
        <w:tc>
          <w:tcPr>
            <w:tcW w:w="0" w:type="dxa"/>
            <w:vAlign w:val="bottom"/>
          </w:tcPr>
          <w:p>
            <w:pPr>
              <w:spacing w:after="0"/>
              <w:rPr>
                <w:sz w:val="1"/>
                <w:szCs w:val="1"/>
                <w:color w:val="auto"/>
              </w:rPr>
            </w:pPr>
          </w:p>
        </w:tc>
      </w:tr>
      <w:tr>
        <w:trPr>
          <w:trHeight w:val="226"/>
        </w:trPr>
        <w:tc>
          <w:tcPr>
            <w:tcW w:w="4100" w:type="dxa"/>
            <w:vAlign w:val="bottom"/>
            <w:gridSpan w:val="3"/>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gross profit margin in constant currency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69.0%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69.6%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927" w:right="4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20" w:type="dxa"/>
            <w:vAlign w:val="bottom"/>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8"/>
        </w:trPr>
        <w:tc>
          <w:tcPr>
            <w:tcW w:w="5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5"/>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5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9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5"/>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2"/>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operating expenses, net: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(1,190.2)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(1,010.3)</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(4,490.0)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(3,920.8)</w:t>
            </w:r>
          </w:p>
        </w:tc>
      </w:tr>
      <w:tr>
        <w:trPr>
          <w:trHeight w:val="23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Next Generation Transformation project charges</w:t>
            </w:r>
            <w:r>
              <w:rPr>
                <w:rFonts w:ascii="Times New Roman" w:cs="Times New Roman" w:eastAsia="Times New Roman" w:hAnsi="Times New Roman"/>
                <w:sz w:val="22"/>
                <w:szCs w:val="22"/>
                <w:b w:val="1"/>
                <w:bCs w:val="1"/>
                <w:color w:val="auto"/>
                <w:vertAlign w:val="superscript"/>
              </w:rPr>
              <w:t>(1)</w:t>
            </w:r>
          </w:p>
        </w:tc>
        <w:tc>
          <w:tcPr>
            <w:tcW w:w="20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25.2</w:t>
            </w:r>
          </w:p>
        </w:tc>
      </w:tr>
      <w:tr>
        <w:trPr>
          <w:trHeight w:val="230"/>
        </w:trPr>
        <w:tc>
          <w:tcPr>
            <w:tcW w:w="522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Restructuring plan charges, net</w:t>
            </w:r>
            <w:r>
              <w:rPr>
                <w:rFonts w:ascii="Times New Roman" w:cs="Times New Roman" w:eastAsia="Times New Roman" w:hAnsi="Times New Roman"/>
                <w:sz w:val="22"/>
                <w:szCs w:val="22"/>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20.4</w:t>
            </w:r>
          </w:p>
        </w:tc>
      </w:tr>
      <w:tr>
        <w:trPr>
          <w:trHeight w:val="229"/>
        </w:trPr>
        <w:tc>
          <w:tcPr>
            <w:tcW w:w="5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Charitable donations related to Interchange Case Settlements</w:t>
            </w:r>
            <w:r>
              <w:rPr>
                <w:rFonts w:ascii="Times New Roman" w:cs="Times New Roman" w:eastAsia="Times New Roman" w:hAnsi="Times New Roman"/>
                <w:sz w:val="22"/>
                <w:szCs w:val="22"/>
                <w:b w:val="1"/>
                <w:bCs w:val="1"/>
                <w:color w:val="auto"/>
                <w:vertAlign w:val="superscript"/>
              </w:rPr>
              <w:t>(3)</w:t>
            </w:r>
          </w:p>
        </w:tc>
        <w:tc>
          <w:tcPr>
            <w:tcW w:w="20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522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Proceeds from Interchange Case Settlements</w:t>
            </w:r>
            <w:r>
              <w:rPr>
                <w:rFonts w:ascii="Times New Roman" w:cs="Times New Roman" w:eastAsia="Times New Roman" w:hAnsi="Times New Roman"/>
                <w:sz w:val="22"/>
                <w:szCs w:val="22"/>
                <w:b w:val="1"/>
                <w:bCs w:val="1"/>
                <w:color w:val="auto"/>
                <w:vertAlign w:val="superscript"/>
              </w:rPr>
              <w:t>(3)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522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Cease-use rent and occupancy expenses</w:t>
            </w:r>
            <w:r>
              <w:rPr>
                <w:rFonts w:ascii="Times New Roman" w:cs="Times New Roman" w:eastAsia="Times New Roman" w:hAnsi="Times New Roman"/>
                <w:sz w:val="22"/>
                <w:szCs w:val="22"/>
                <w:b w:val="1"/>
                <w:bCs w:val="1"/>
                <w:color w:val="auto"/>
                <w:vertAlign w:val="superscript"/>
              </w:rPr>
              <w:t>(4)</w:t>
            </w:r>
          </w:p>
        </w:tc>
        <w:tc>
          <w:tcPr>
            <w:tcW w:w="20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12.2</w:t>
            </w:r>
          </w:p>
        </w:tc>
      </w:tr>
      <w:tr>
        <w:trPr>
          <w:trHeight w:val="229"/>
        </w:trPr>
        <w:tc>
          <w:tcPr>
            <w:tcW w:w="522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Charitable donations related to Club Monaco sale</w:t>
            </w:r>
            <w:r>
              <w:rPr>
                <w:rFonts w:ascii="Times New Roman" w:cs="Times New Roman" w:eastAsia="Times New Roman" w:hAnsi="Times New Roman"/>
                <w:sz w:val="22"/>
                <w:szCs w:val="22"/>
                <w:b w:val="1"/>
                <w:bCs w:val="1"/>
                <w:color w:val="auto"/>
                <w:vertAlign w:val="superscript"/>
              </w:rPr>
              <w:t>(5)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2.8</w:t>
            </w:r>
          </w:p>
        </w:tc>
      </w:tr>
      <w:tr>
        <w:trPr>
          <w:trHeight w:val="229"/>
        </w:trPr>
        <w:tc>
          <w:tcPr>
            <w:tcW w:w="5220" w:type="dxa"/>
            <w:vAlign w:val="bottom"/>
            <w:tcBorders>
              <w:bottom w:val="single" w:sz="8" w:color="CCEEFF"/>
            </w:tcBorders>
          </w:tcPr>
          <w:p>
            <w:pPr>
              <w:ind w:left="360"/>
              <w:spacing w:after="0" w:line="229" w:lineRule="exact"/>
              <w:rPr>
                <w:sz w:val="20"/>
                <w:szCs w:val="20"/>
                <w:color w:val="auto"/>
              </w:rPr>
            </w:pPr>
            <w:r>
              <w:rPr>
                <w:rFonts w:ascii="Times New Roman" w:cs="Times New Roman" w:eastAsia="Times New Roman" w:hAnsi="Times New Roman"/>
                <w:sz w:val="17"/>
                <w:szCs w:val="17"/>
                <w:color w:val="auto"/>
              </w:rPr>
              <w:t>Club Monaco sale consideration from Regent, L.P.</w:t>
            </w:r>
            <w:r>
              <w:rPr>
                <w:rFonts w:ascii="Times New Roman" w:cs="Times New Roman" w:eastAsia="Times New Roman" w:hAnsi="Times New Roman"/>
                <w:sz w:val="22"/>
                <w:szCs w:val="22"/>
                <w:b w:val="1"/>
                <w:bCs w:val="1"/>
                <w:color w:val="auto"/>
                <w:vertAlign w:val="superscript"/>
              </w:rPr>
              <w:t>(5)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(2.8)</w:t>
            </w:r>
          </w:p>
        </w:tc>
      </w:tr>
      <w:tr>
        <w:trPr>
          <w:trHeight w:val="223"/>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Total other operating expenses, net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57.8</w:t>
            </w: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reported currency</w:t>
            </w:r>
          </w:p>
        </w:tc>
        <w:tc>
          <w:tcPr>
            <w:tcW w:w="20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(1,160.5)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(3,863.0)</w:t>
            </w: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constant currency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(1,129.0)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(4,290.2)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3"/>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Operating expense margin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55.4%</w:t>
            </w:r>
          </w:p>
        </w:tc>
      </w:tr>
      <w:tr>
        <w:trPr>
          <w:trHeight w:val="228"/>
        </w:trPr>
        <w:tc>
          <w:tcPr>
            <w:tcW w:w="52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expense margin in reported currency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54.6%</w:t>
            </w:r>
          </w:p>
        </w:tc>
      </w:tr>
      <w:tr>
        <w:trPr>
          <w:trHeight w:val="23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expense margin in constant currency</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483"/>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2620" w:type="dxa"/>
            <w:vAlign w:val="bottom"/>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8"/>
        </w:trPr>
        <w:tc>
          <w:tcPr>
            <w:tcW w:w="5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5"/>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5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95"/>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5"/>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2"/>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155.0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1,179.2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932.1</w:t>
            </w:r>
          </w:p>
        </w:tc>
      </w:tr>
      <w:tr>
        <w:trPr>
          <w:trHeight w:val="23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operating expense, net adjustments (per above)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57.8</w:t>
            </w:r>
          </w:p>
        </w:tc>
      </w:tr>
      <w:tr>
        <w:trPr>
          <w:trHeight w:val="227"/>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Operating income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57.8</w:t>
            </w: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reported currency</w:t>
            </w:r>
          </w:p>
        </w:tc>
        <w:tc>
          <w:tcPr>
            <w:tcW w:w="20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1,297.3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989.9</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 in constant currency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183.6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1,215.5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224"/>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13.2%</w:t>
            </w:r>
          </w:p>
        </w:tc>
      </w:tr>
      <w:tr>
        <w:trPr>
          <w:trHeight w:val="228"/>
        </w:trPr>
        <w:tc>
          <w:tcPr>
            <w:tcW w:w="52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margin in reported currency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14.0%</w:t>
            </w:r>
          </w:p>
        </w:tc>
      </w:tr>
      <w:tr>
        <w:trPr>
          <w:trHeight w:val="231"/>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operating margin in constant currency</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675"/>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60"/>
          </w:cols>
          <w:pgMar w:left="320" w:top="927" w:right="4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620" w:type="dxa"/>
            <w:vAlign w:val="bottom"/>
            <w:gridSpan w:val="4"/>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8"/>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7"/>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6"/>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(236.6)</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(207.8)</w:t>
            </w:r>
          </w:p>
        </w:tc>
      </w:tr>
      <w:tr>
        <w:trPr>
          <w:trHeight w:val="23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240" w:type="dxa"/>
            <w:vAlign w:val="bottom"/>
            <w:tcBorders>
              <w:bottom w:val="single" w:sz="8" w:color="CCEEFF"/>
            </w:tcBorders>
          </w:tcPr>
          <w:p>
            <w:pPr>
              <w:ind w:left="360"/>
              <w:spacing w:after="0" w:line="229" w:lineRule="exact"/>
              <w:rPr>
                <w:sz w:val="20"/>
                <w:szCs w:val="20"/>
                <w:color w:val="auto"/>
              </w:rPr>
            </w:pPr>
            <w:r>
              <w:rPr>
                <w:rFonts w:ascii="Times New Roman" w:cs="Times New Roman" w:eastAsia="Times New Roman" w:hAnsi="Times New Roman"/>
                <w:sz w:val="17"/>
                <w:szCs w:val="17"/>
                <w:color w:val="auto"/>
              </w:rPr>
              <w:t>Tax effects of operating income adjustments</w:t>
            </w:r>
            <w:r>
              <w:rPr>
                <w:rFonts w:ascii="Times New Roman" w:cs="Times New Roman" w:eastAsia="Times New Roman" w:hAnsi="Times New Roman"/>
                <w:sz w:val="22"/>
                <w:szCs w:val="22"/>
                <w:b w:val="1"/>
                <w:bCs w:val="1"/>
                <w:color w:val="auto"/>
                <w:vertAlign w:val="superscript"/>
              </w:rPr>
              <w:t>(6)</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5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Income tax provision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(11.8)</w:t>
            </w:r>
          </w:p>
        </w:tc>
      </w:tr>
      <w:tr>
        <w:trPr>
          <w:trHeight w:val="227"/>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adjusted</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(262.6)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(219.6)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i w:val="1"/>
                <w:iCs w:val="1"/>
                <w:color w:val="auto"/>
              </w:rPr>
              <w:t>Effective tax rate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21.9%</w:t>
            </w:r>
          </w:p>
        </w:tc>
      </w:tr>
      <w:tr>
        <w:trPr>
          <w:trHeight w:val="226"/>
        </w:trPr>
        <w:tc>
          <w:tcPr>
            <w:tcW w:w="524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Adjusted effective tax rate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21.8%</w:t>
            </w:r>
          </w:p>
        </w:tc>
      </w:tr>
      <w:tr>
        <w:trPr>
          <w:trHeight w:val="486"/>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2620" w:type="dxa"/>
            <w:vAlign w:val="bottom"/>
            <w:gridSpan w:val="4"/>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8"/>
        </w:trPr>
        <w:tc>
          <w:tcPr>
            <w:tcW w:w="5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7"/>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6"/>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5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reported</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129.0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941.1</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742.9</w:t>
            </w:r>
          </w:p>
        </w:tc>
      </w:tr>
      <w:tr>
        <w:trPr>
          <w:trHeight w:val="23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6"/>
        </w:trPr>
        <w:tc>
          <w:tcPr>
            <w:tcW w:w="5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income adjustments (per above)</w:t>
            </w:r>
          </w:p>
        </w:tc>
        <w:tc>
          <w:tcPr>
            <w:tcW w:w="22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57.8</w:t>
            </w:r>
          </w:p>
        </w:tc>
      </w:tr>
      <w:tr>
        <w:trPr>
          <w:trHeight w:val="23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provision adjustments (per above)</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52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7"/>
                <w:szCs w:val="17"/>
                <w:color w:val="auto"/>
              </w:rPr>
              <w:t>Net income adjustments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92.1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46.0</w:t>
            </w:r>
          </w:p>
        </w:tc>
      </w:tr>
      <w:tr>
        <w:trPr>
          <w:trHeight w:val="252"/>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 adjusted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788.9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92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diluted common share:</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Weighted-average diluted shares outstanding (millions)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reported</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Adjustments:</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income adjustments per diluted common share</w:t>
      </w:r>
      <w:r>
        <w:rPr>
          <w:rFonts w:ascii="Times New Roman" w:cs="Times New Roman" w:eastAsia="Times New Roman" w:hAnsi="Times New Roman"/>
          <w:sz w:val="21"/>
          <w:szCs w:val="21"/>
          <w:b w:val="1"/>
          <w:bCs w:val="1"/>
          <w:color w:val="auto"/>
          <w:vertAlign w:val="superscript"/>
        </w:rPr>
        <w:t>(7)</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16064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0645" cy="146050"/>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reported</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6064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0645" cy="146050"/>
                    </a:xfrm>
                    <a:prstGeom prst="rect">
                      <a:avLst/>
                    </a:prstGeom>
                    <a:noFill/>
                  </pic:spPr>
                </pic:pic>
              </a:graphicData>
            </a:graphic>
          </wp:anchor>
        </w:drawing>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As reported in constant currency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8"/>
        </w:trPr>
        <w:tc>
          <w:tcPr>
            <w:tcW w:w="220" w:type="dxa"/>
            <w:vAlign w:val="bottom"/>
          </w:tcPr>
          <w:p>
            <w:pPr>
              <w:spacing w:after="0"/>
              <w:rPr>
                <w:sz w:val="13"/>
                <w:szCs w:val="13"/>
                <w:color w:val="auto"/>
              </w:rPr>
            </w:pPr>
          </w:p>
        </w:tc>
        <w:tc>
          <w:tcPr>
            <w:tcW w:w="12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300" w:type="dxa"/>
            <w:vAlign w:val="bottom"/>
          </w:tcPr>
          <w:p>
            <w:pPr>
              <w:spacing w:after="0"/>
              <w:rPr>
                <w:sz w:val="13"/>
                <w:szCs w:val="13"/>
                <w:color w:val="auto"/>
              </w:rPr>
            </w:pPr>
          </w:p>
        </w:tc>
        <w:tc>
          <w:tcPr>
            <w:tcW w:w="1100" w:type="dxa"/>
            <w:vAlign w:val="bottom"/>
          </w:tcPr>
          <w:p>
            <w:pPr>
              <w:jc w:val="center"/>
              <w:ind w:right="217"/>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220" w:type="dxa"/>
            <w:vAlign w:val="bottom"/>
          </w:tcPr>
          <w:p>
            <w:pPr>
              <w:spacing w:after="0"/>
              <w:rPr>
                <w:sz w:val="13"/>
                <w:szCs w:val="13"/>
                <w:color w:val="auto"/>
              </w:rPr>
            </w:pPr>
          </w:p>
        </w:tc>
        <w:tc>
          <w:tcPr>
            <w:tcW w:w="1180" w:type="dxa"/>
            <w:vAlign w:val="bottom"/>
          </w:tcPr>
          <w:p>
            <w:pPr>
              <w:jc w:val="right"/>
              <w:ind w:right="256"/>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641"/>
        </w:trPr>
        <w:tc>
          <w:tcPr>
            <w:tcW w:w="220" w:type="dxa"/>
            <w:vAlign w:val="bottom"/>
          </w:tcPr>
          <w:p>
            <w:pPr>
              <w:spacing w:after="0"/>
              <w:rPr>
                <w:sz w:val="24"/>
                <w:szCs w:val="24"/>
                <w:color w:val="auto"/>
              </w:rPr>
            </w:pP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64.0</w:t>
            </w:r>
          </w:p>
        </w:tc>
      </w:tr>
      <w:tr>
        <w:trPr>
          <w:trHeight w:val="229"/>
        </w:trPr>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2.03</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15.11</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11.61</w:t>
            </w:r>
          </w:p>
        </w:tc>
      </w:tr>
      <w:tr>
        <w:trPr>
          <w:trHeight w:val="468"/>
        </w:trPr>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0.72</w:t>
            </w:r>
          </w:p>
        </w:tc>
      </w:tr>
      <w:tr>
        <w:trPr>
          <w:trHeight w:val="226"/>
        </w:trPr>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16.59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12.33</w:t>
            </w:r>
          </w:p>
        </w:tc>
      </w:tr>
      <w:tr>
        <w:trPr>
          <w:trHeight w:val="24"/>
        </w:trPr>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99"/>
        </w:trPr>
        <w:tc>
          <w:tcPr>
            <w:tcW w:w="2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28,</w:t>
            </w:r>
          </w:p>
        </w:tc>
        <w:tc>
          <w:tcPr>
            <w:tcW w:w="300" w:type="dxa"/>
            <w:vAlign w:val="bottom"/>
          </w:tcPr>
          <w:p>
            <w:pPr>
              <w:spacing w:after="0"/>
              <w:rPr>
                <w:sz w:val="24"/>
                <w:szCs w:val="24"/>
                <w:color w:val="auto"/>
              </w:rPr>
            </w:pPr>
          </w:p>
        </w:tc>
        <w:tc>
          <w:tcPr>
            <w:tcW w:w="1100" w:type="dxa"/>
            <w:vAlign w:val="bottom"/>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6"/>
        </w:trPr>
        <w:tc>
          <w:tcPr>
            <w:tcW w:w="2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63"/>
        </w:trPr>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tcPr>
          <w:p>
            <w:pPr>
              <w:spacing w:after="0"/>
              <w:rPr>
                <w:sz w:val="24"/>
                <w:szCs w:val="24"/>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949.6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-1875790</wp:posOffset>
            </wp:positionV>
            <wp:extent cx="70808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-1583690</wp:posOffset>
            </wp:positionV>
            <wp:extent cx="708088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-1292860</wp:posOffset>
            </wp:positionV>
            <wp:extent cx="708088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wp:posOffset>
            </wp:positionV>
            <wp:extent cx="891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 w:lineRule="exact"/>
        <w:rPr>
          <w:sz w:val="20"/>
          <w:szCs w:val="20"/>
          <w:color w:val="auto"/>
        </w:rPr>
      </w:pPr>
    </w:p>
    <w:p>
      <w:pPr>
        <w:ind w:left="800" w:hanging="790"/>
        <w:spacing w:after="0"/>
        <w:tabs>
          <w:tab w:leader="none" w:pos="8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8915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8915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4520" w:space="720"/>
            <w:col w:w="5920"/>
          </w:cols>
          <w:pgMar w:left="320" w:top="927" w:right="419" w:bottom="1440" w:gutter="0" w:footer="0" w:header="0"/>
          <w:type w:val="continuous"/>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927" w:right="419" w:bottom="1440" w:gutter="0" w:footer="0" w:header="0"/>
          <w:type w:val="continuous"/>
        </w:sectPr>
      </w:pPr>
    </w:p>
    <w:bookmarkStart w:id="21" w:name="page22"/>
    <w:bookmarkEnd w:id="21"/>
    <w:p>
      <w:pPr>
        <w:jc w:val="center"/>
        <w:ind w:right="-131"/>
        <w:spacing w:after="0"/>
        <w:rPr>
          <w:sz w:val="20"/>
          <w:szCs w:val="20"/>
          <w:color w:val="auto"/>
        </w:rPr>
      </w:pPr>
      <w:r>
        <w:rPr>
          <w:rFonts w:ascii="Times New Roman" w:cs="Times New Roman" w:eastAsia="Times New Roman" w:hAnsi="Times New Roman"/>
          <w:sz w:val="22"/>
          <w:szCs w:val="22"/>
          <w:b w:val="1"/>
          <w:bCs w:val="1"/>
          <w:color w:val="auto"/>
        </w:rPr>
        <w:t>RALPH LAUREN CORPORATION</w:t>
      </w:r>
    </w:p>
    <w:p>
      <w:pPr>
        <w:spacing w:after="0" w:line="112"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b w:val="1"/>
          <w:bCs w:val="1"/>
          <w:color w:val="auto"/>
        </w:rPr>
        <w:t>FOOTNOTES TO RECONCILIATION OF NON-U.S. GAAP FINANCIAL MEASURES</w:t>
      </w:r>
    </w:p>
    <w:p>
      <w:pPr>
        <w:spacing w:after="0" w:line="242" w:lineRule="exact"/>
        <w:rPr>
          <w:sz w:val="20"/>
          <w:szCs w:val="20"/>
          <w:color w:val="auto"/>
        </w:rPr>
      </w:pPr>
    </w:p>
    <w:p>
      <w:pPr>
        <w:ind w:left="332" w:right="40" w:hanging="332"/>
        <w:spacing w:after="0" w:line="258" w:lineRule="auto"/>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Next Generation Transformation project charges recorded during the three-month and twelve-month periods ended March 28, 2026 and March 29, 2025 relate to certain costs incurred in connection with the Company's multi-year global project that is expected to significantly transform the way in which the Company operates its business and further enable its long-term strategic pivot towards a global direct-to-consumer-oriented model.</w:t>
      </w:r>
    </w:p>
    <w:p>
      <w:pPr>
        <w:spacing w:after="0" w:line="77" w:lineRule="exact"/>
        <w:rPr>
          <w:rFonts w:ascii="Times New Roman" w:cs="Times New Roman" w:eastAsia="Times New Roman" w:hAnsi="Times New Roman"/>
          <w:sz w:val="16"/>
          <w:szCs w:val="16"/>
          <w:b w:val="1"/>
          <w:bCs w:val="1"/>
          <w:color w:val="auto"/>
        </w:rPr>
      </w:pPr>
    </w:p>
    <w:p>
      <w:pPr>
        <w:ind w:left="332" w:right="620" w:hanging="332"/>
        <w:spacing w:after="0" w:line="269" w:lineRule="auto"/>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Restructuring plan and other charges, net recorded during the three-month and twelve-month periods ended March 28, 2026 and March 29, 2025 relate to the Company's restructuring activities, primarily associated with severance and benefit costs.</w:t>
      </w:r>
    </w:p>
    <w:p>
      <w:pPr>
        <w:spacing w:after="0" w:line="64" w:lineRule="exact"/>
        <w:rPr>
          <w:rFonts w:ascii="Times New Roman" w:cs="Times New Roman" w:eastAsia="Times New Roman" w:hAnsi="Times New Roman"/>
          <w:sz w:val="16"/>
          <w:szCs w:val="16"/>
          <w:b w:val="1"/>
          <w:bCs w:val="1"/>
          <w:color w:val="auto"/>
        </w:rPr>
      </w:pPr>
    </w:p>
    <w:p>
      <w:pPr>
        <w:ind w:left="332" w:hanging="332"/>
        <w:spacing w:after="0" w:line="261" w:lineRule="auto"/>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Charges and benefits recorded during the three-month and twelve-month periods ended March 28, 2026 related to charitable donations made by the Company, funded by cash proceeds resulting from settlement agreements reached with Visa, Inc., Mastercard Incorporated, and other named parties to resolve credit card interchange fee litigation matters in which the Company was a plaintiff.</w:t>
      </w:r>
    </w:p>
    <w:p>
      <w:pPr>
        <w:spacing w:after="0" w:line="73" w:lineRule="exact"/>
        <w:rPr>
          <w:rFonts w:ascii="Times New Roman" w:cs="Times New Roman" w:eastAsia="Times New Roman" w:hAnsi="Times New Roman"/>
          <w:sz w:val="16"/>
          <w:szCs w:val="16"/>
          <w:b w:val="1"/>
          <w:bCs w:val="1"/>
          <w:color w:val="auto"/>
        </w:rPr>
      </w:pPr>
    </w:p>
    <w:p>
      <w:pPr>
        <w:ind w:left="332" w:hanging="332"/>
        <w:spacing w:after="0"/>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Cease-use rent and occupancy expenses recorded during the three-month and twelve-month periods ended March 28, 2026 and</w:t>
      </w:r>
    </w:p>
    <w:p>
      <w:pPr>
        <w:spacing w:after="0" w:line="21" w:lineRule="exact"/>
        <w:rPr>
          <w:rFonts w:ascii="Times New Roman" w:cs="Times New Roman" w:eastAsia="Times New Roman" w:hAnsi="Times New Roman"/>
          <w:sz w:val="16"/>
          <w:szCs w:val="16"/>
          <w:b w:val="1"/>
          <w:bCs w:val="1"/>
          <w:color w:val="auto"/>
        </w:rPr>
      </w:pPr>
    </w:p>
    <w:p>
      <w:pPr>
        <w:ind w:left="332"/>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March 29, 2025 related to rent and occupancy costs associated with certain previously exited real estate locations in connection with the Company's past restructuring activities for which the related lease agreements have not yet expired, as well as impairment charges recorded during the three-month and twelve-month periods ended March 29, 2025 to write down certain long-lived assets.</w:t>
      </w:r>
    </w:p>
    <w:p>
      <w:pPr>
        <w:spacing w:after="0" w:line="65" w:lineRule="exact"/>
        <w:rPr>
          <w:rFonts w:ascii="Times New Roman" w:cs="Times New Roman" w:eastAsia="Times New Roman" w:hAnsi="Times New Roman"/>
          <w:sz w:val="16"/>
          <w:szCs w:val="16"/>
          <w:b w:val="1"/>
          <w:bCs w:val="1"/>
          <w:color w:val="auto"/>
        </w:rPr>
      </w:pPr>
    </w:p>
    <w:p>
      <w:pPr>
        <w:ind w:left="332" w:right="120" w:hanging="332"/>
        <w:spacing w:after="0" w:line="261" w:lineRule="auto"/>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Charges and benefits recorded during the three-month and twelve-month periods ended March 28, 2026 and March 29, 2025 related to charitable donations of consideration received from Regent, L.P. in connection with the Company's sale of its former Club Monaco business during Fiscal 2022 as part of its Fiscal 2021 Strategic Realignment Plan.</w:t>
      </w:r>
    </w:p>
    <w:p>
      <w:pPr>
        <w:spacing w:after="0" w:line="73" w:lineRule="exact"/>
        <w:rPr>
          <w:rFonts w:ascii="Times New Roman" w:cs="Times New Roman" w:eastAsia="Times New Roman" w:hAnsi="Times New Roman"/>
          <w:sz w:val="16"/>
          <w:szCs w:val="16"/>
          <w:b w:val="1"/>
          <w:bCs w:val="1"/>
          <w:color w:val="auto"/>
        </w:rPr>
      </w:pPr>
    </w:p>
    <w:p>
      <w:pPr>
        <w:ind w:left="332" w:right="120" w:hanging="332"/>
        <w:spacing w:after="0" w:line="269" w:lineRule="auto"/>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Represents tax-related effects of the previously described adjustments to operating income, which were calculated using the respective statutory tax rates for each applicable jurisdiction.</w:t>
      </w:r>
    </w:p>
    <w:p>
      <w:pPr>
        <w:spacing w:after="0" w:line="64" w:lineRule="exact"/>
        <w:rPr>
          <w:rFonts w:ascii="Times New Roman" w:cs="Times New Roman" w:eastAsia="Times New Roman" w:hAnsi="Times New Roman"/>
          <w:sz w:val="16"/>
          <w:szCs w:val="16"/>
          <w:b w:val="1"/>
          <w:bCs w:val="1"/>
          <w:color w:val="auto"/>
        </w:rPr>
      </w:pPr>
    </w:p>
    <w:p>
      <w:pPr>
        <w:ind w:left="332" w:right="200" w:hanging="332"/>
        <w:spacing w:after="0" w:line="283" w:lineRule="auto"/>
        <w:tabs>
          <w:tab w:leader="none" w:pos="332"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20"/>
          <w:szCs w:val="20"/>
          <w:color w:val="auto"/>
        </w:rPr>
        <w:t>Net income adjustments per diluted common share were calculated by dividing total net income adjustments by the weighted-average diluted shares outstanding during the period. Per share amounts have been calculated using unrounded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92"/>
          </w:cols>
          <w:pgMar w:left="328" w:top="891"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NON-U.S. GAAP FINANCIAL MEASURES</w:t>
      </w:r>
    </w:p>
    <w:p>
      <w:pPr>
        <w:spacing w:after="0" w:line="2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Because Ralph Lauren Corporation is a global company, the comparability of its operating results reported in U.S. Dollars is affected by foreign currency exchange rate fluctuations because the underlying currencies in which it transacts change in value over time compared to the U.S. Dollar. Such fluctuations can have a significant effect on the Company's reported results. As such, in addition to financial measures prepared in accordance with accounting principles generally accepted in the U.S. ("U.S. GAAP"), the Company's discussions often contain references to constant currency measures, which are calculated by translating current-year and prior-year reported amounts into comparable amounts using a single foreign exchange rate for each currency. The Company presents constant currency financial information, which is a non-U.S. GAAP financial measure, as a supplement to its reported operating results. The Company uses constant currency information to provide a framework for assessing how its businesses performed excluding the effects of foreign currency exchange rate fluctuations. Management believes this information is useful to investors for facilitating comparisons of operating results and better identifying trends in the Company's businesses. The constant currency performance measures should be viewed in addition to, and not in lieu of or superior to, the Company's operating performance measures calculated in accordance with U.S. GAAP.</w:t>
      </w:r>
    </w:p>
    <w:p>
      <w:pPr>
        <w:spacing w:after="0" w:line="21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2"/>
          <w:szCs w:val="22"/>
          <w:color w:val="auto"/>
        </w:rPr>
        <w:t>This earnings release also includes certain other non-U.S. GAAP financial measures relating to the impact of charges and other items as described herein. The Company uses non-U.S. GAAP financial measures, among other things, to evaluate its operating performance and to better represent the manner in which it conducts and views its business. The Company believes that excluding items that are not comparable from period to period helps investors and others compare operating performance between two periods. While the Company considers non-U.S. GAAP measures useful in analyzing its results, they are not intended to replace, nor act as a substitute for, any presentation included in the consolidated financial statements prepared in conformity with U.S. GAAP, and may be different from non-U.S. GAAP measures reported by other companies.</w:t>
      </w:r>
    </w:p>
    <w:p>
      <w:pPr>
        <w:spacing w:after="0" w:line="20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Adjustments made during the fiscal periods presented include charges recorded in connection with the Company's restructuring activities, as well as certain other charges (benefits) associated with other non-recurring events, as described in the footnotes to the non-U.S. GAAP financial measures above. The income tax benefit (provision) has been adjusted for the tax-related effects of these charges, which were calculated using the respective statutory tax rates for each applicable jurisdiction. Included in this earnings release are reconciliations between the non-U.S. GAAP financial measures and the most directly comparable U.S. GAAP measures before and after these adjustments.</w:t>
      </w:r>
    </w:p>
    <w:p>
      <w:pPr>
        <w:spacing w:after="0" w:line="208"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22"/>
          <w:szCs w:val="22"/>
          <w:color w:val="auto"/>
        </w:rPr>
        <w:t>Additionally, the Company's full year Fiscal 2027 and first quarter guidance excludes any potential restructuring-related and other charges that may be incurred in future periods. The Company is not able to provide a full reconciliation of these non-U.S. GAAP financial measures to U.S. GAAP as it is not known at this time if and when any such charges may be incurred in the future. Accordingly, a reconciliation of the Company's non-U.S. GAAP based financial measure guidance to the most directly comparable U.S. GAAP measures cannot be provided at this time given the uncertain nature of any such potential charges that may be incurred in future periods.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89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SOURCE: Ralph Lauren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Corinna Van der Ghinst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ir@ralphlauren.com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rl-press@ralphlauren.com</w:t>
      </w:r>
    </w:p>
    <w:p>
      <w:pPr>
        <w:spacing w:after="0" w:line="20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1">
        <w:col w:w="10139"/>
      </w:cols>
      <w:pgMar w:left="32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2026-05-21T07:09:29Z</dcterms:created>
  <dcterms:modified xsi:type="dcterms:W3CDTF">2026-05-21T07:09:29Z</dcterms:modified>
</cp:coreProperties>
</file>