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99060</wp:posOffset>
            </wp:positionV>
            <wp:extent cx="1878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(Mark One)</w:t>
      </w:r>
    </w:p>
    <w:p>
      <w:pPr>
        <w:spacing w:after="0" w:line="14" w:lineRule="exact"/>
        <w:rPr>
          <w:sz w:val="20"/>
          <w:szCs w:val="20"/>
          <w:color w:val="auto"/>
        </w:rPr>
      </w:pPr>
    </w:p>
    <w:p>
      <w:pPr>
        <w:ind w:left="2080" w:hanging="1309"/>
        <w:spacing w:after="0"/>
        <w:tabs>
          <w:tab w:leader="none" w:pos="20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w:t>
      </w:r>
    </w:p>
    <w:p>
      <w:pPr>
        <w:ind w:left="2080" w:right="4460"/>
        <w:spacing w:after="0" w:line="449" w:lineRule="auto"/>
        <w:rPr>
          <w:rFonts w:ascii="MS PGothic" w:cs="MS PGothic" w:eastAsia="MS PGothic" w:hAnsi="MS PGothic"/>
          <w:sz w:val="22"/>
          <w:szCs w:val="22"/>
          <w:color w:val="auto"/>
        </w:rPr>
      </w:pPr>
      <w:r>
        <w:rPr>
          <w:rFonts w:ascii="Arial" w:cs="Arial" w:eastAsia="Arial" w:hAnsi="Arial"/>
          <w:sz w:val="22"/>
          <w:szCs w:val="22"/>
          <w:b w:val="1"/>
          <w:bCs w:val="1"/>
          <w:color w:val="auto"/>
        </w:rPr>
        <w:t>OF THE SECURITIES EXCHANGE ACT OF 1934 For the Fiscal Year Ended April 2, 2005</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or</w:t>
      </w:r>
    </w:p>
    <w:p>
      <w:pPr>
        <w:spacing w:after="0" w:line="233" w:lineRule="exact"/>
        <w:rPr>
          <w:sz w:val="20"/>
          <w:szCs w:val="20"/>
          <w:color w:val="auto"/>
        </w:rPr>
      </w:pPr>
    </w:p>
    <w:p>
      <w:pPr>
        <w:ind w:left="2080" w:hanging="1268"/>
        <w:spacing w:after="0"/>
        <w:tabs>
          <w:tab w:leader="none" w:pos="20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w:t>
      </w:r>
    </w:p>
    <w:p>
      <w:pPr>
        <w:spacing w:after="0" w:line="14" w:lineRule="exact"/>
        <w:rPr>
          <w:rFonts w:ascii="Arial" w:cs="Arial" w:eastAsia="Arial" w:hAnsi="Arial"/>
          <w:sz w:val="22"/>
          <w:szCs w:val="22"/>
          <w:b w:val="1"/>
          <w:bCs w:val="1"/>
          <w:color w:val="auto"/>
        </w:rPr>
      </w:pPr>
    </w:p>
    <w:p>
      <w:pPr>
        <w:ind w:left="20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OF THE SECURITIES EXCHANGE ACT OF 1934</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001-13057</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Polo Ralph Lauren Corporation</w:t>
      </w:r>
    </w:p>
    <w:p>
      <w:pPr>
        <w:spacing w:after="0" w:line="42" w:lineRule="exact"/>
        <w:rPr>
          <w:sz w:val="20"/>
          <w:szCs w:val="20"/>
          <w:color w:val="auto"/>
        </w:rPr>
      </w:pPr>
    </w:p>
    <w:p>
      <w:pPr>
        <w:jc w:val="center"/>
        <w:ind w:right="-5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52" w:lineRule="exact"/>
        <w:rPr>
          <w:sz w:val="20"/>
          <w:szCs w:val="20"/>
          <w:color w:val="auto"/>
        </w:rPr>
      </w:pPr>
    </w:p>
    <w:tbl>
      <w:tblPr>
        <w:tblLayout w:type="fixed"/>
        <w:tblInd w:w="1380" w:type="dxa"/>
        <w:tblCellMar>
          <w:top w:w="0" w:type="dxa"/>
          <w:left w:w="0" w:type="dxa"/>
          <w:bottom w:w="0" w:type="dxa"/>
          <w:right w:w="0" w:type="dxa"/>
        </w:tblCellMar>
      </w:tblPr>
      <w:tr>
        <w:trPr>
          <w:trHeight w:val="220"/>
        </w:trPr>
        <w:tc>
          <w:tcPr>
            <w:tcW w:w="4560" w:type="dxa"/>
            <w:vAlign w:val="bottom"/>
          </w:tcPr>
          <w:p>
            <w:pPr>
              <w:jc w:val="center"/>
              <w:ind w:right="710"/>
              <w:spacing w:after="0"/>
              <w:rPr>
                <w:sz w:val="20"/>
                <w:szCs w:val="20"/>
                <w:color w:val="auto"/>
              </w:rPr>
            </w:pPr>
            <w:r>
              <w:rPr>
                <w:rFonts w:ascii="Arial" w:cs="Arial" w:eastAsia="Arial" w:hAnsi="Arial"/>
                <w:sz w:val="18"/>
                <w:szCs w:val="18"/>
                <w:b w:val="1"/>
                <w:bCs w:val="1"/>
                <w:color w:val="auto"/>
                <w:w w:val="91"/>
              </w:rPr>
              <w:t>Delaware</w:t>
            </w:r>
          </w:p>
        </w:tc>
        <w:tc>
          <w:tcPr>
            <w:tcW w:w="4560" w:type="dxa"/>
            <w:vAlign w:val="bottom"/>
          </w:tcPr>
          <w:p>
            <w:pPr>
              <w:jc w:val="right"/>
              <w:ind w:right="830"/>
              <w:spacing w:after="0"/>
              <w:rPr>
                <w:sz w:val="20"/>
                <w:szCs w:val="20"/>
                <w:color w:val="auto"/>
              </w:rPr>
            </w:pPr>
            <w:r>
              <w:rPr>
                <w:rFonts w:ascii="Arial" w:cs="Arial" w:eastAsia="Arial" w:hAnsi="Arial"/>
                <w:sz w:val="18"/>
                <w:szCs w:val="18"/>
                <w:b w:val="1"/>
                <w:bCs w:val="1"/>
                <w:color w:val="auto"/>
              </w:rPr>
              <w:t>13-2622036</w:t>
            </w:r>
          </w:p>
        </w:tc>
      </w:tr>
      <w:tr>
        <w:trPr>
          <w:trHeight w:val="216"/>
        </w:trPr>
        <w:tc>
          <w:tcPr>
            <w:tcW w:w="4560" w:type="dxa"/>
            <w:vAlign w:val="bottom"/>
          </w:tcPr>
          <w:p>
            <w:pPr>
              <w:jc w:val="center"/>
              <w:ind w:right="710"/>
              <w:spacing w:after="0"/>
              <w:rPr>
                <w:sz w:val="20"/>
                <w:szCs w:val="20"/>
                <w:color w:val="auto"/>
              </w:rPr>
            </w:pPr>
            <w:r>
              <w:rPr>
                <w:rFonts w:ascii="Arial" w:cs="Arial" w:eastAsia="Arial" w:hAnsi="Arial"/>
                <w:sz w:val="18"/>
                <w:szCs w:val="18"/>
                <w:i w:val="1"/>
                <w:iCs w:val="1"/>
                <w:color w:val="auto"/>
                <w:w w:val="94"/>
              </w:rPr>
              <w:t>(State or other jurisdiction of</w:t>
            </w:r>
          </w:p>
        </w:tc>
        <w:tc>
          <w:tcPr>
            <w:tcW w:w="4560" w:type="dxa"/>
            <w:vAlign w:val="bottom"/>
          </w:tcPr>
          <w:p>
            <w:pPr>
              <w:jc w:val="center"/>
              <w:ind w:left="1730"/>
              <w:spacing w:after="0"/>
              <w:rPr>
                <w:sz w:val="20"/>
                <w:szCs w:val="20"/>
                <w:color w:val="auto"/>
              </w:rPr>
            </w:pPr>
            <w:r>
              <w:rPr>
                <w:rFonts w:ascii="Arial" w:cs="Arial" w:eastAsia="Arial" w:hAnsi="Arial"/>
                <w:sz w:val="18"/>
                <w:szCs w:val="18"/>
                <w:i w:val="1"/>
                <w:iCs w:val="1"/>
                <w:color w:val="auto"/>
                <w:w w:val="90"/>
              </w:rPr>
              <w:t>(IRS Employer</w:t>
            </w:r>
          </w:p>
        </w:tc>
      </w:tr>
      <w:tr>
        <w:trPr>
          <w:trHeight w:val="212"/>
        </w:trPr>
        <w:tc>
          <w:tcPr>
            <w:tcW w:w="4560" w:type="dxa"/>
            <w:vAlign w:val="bottom"/>
          </w:tcPr>
          <w:p>
            <w:pPr>
              <w:jc w:val="center"/>
              <w:ind w:right="690"/>
              <w:spacing w:after="0"/>
              <w:rPr>
                <w:sz w:val="20"/>
                <w:szCs w:val="20"/>
                <w:color w:val="auto"/>
              </w:rPr>
            </w:pPr>
            <w:r>
              <w:rPr>
                <w:rFonts w:ascii="Arial" w:cs="Arial" w:eastAsia="Arial" w:hAnsi="Arial"/>
                <w:sz w:val="18"/>
                <w:szCs w:val="18"/>
                <w:i w:val="1"/>
                <w:iCs w:val="1"/>
                <w:color w:val="auto"/>
                <w:w w:val="94"/>
              </w:rPr>
              <w:t>incorporation or organization)</w:t>
            </w:r>
          </w:p>
        </w:tc>
        <w:tc>
          <w:tcPr>
            <w:tcW w:w="4560" w:type="dxa"/>
            <w:vAlign w:val="bottom"/>
          </w:tcPr>
          <w:p>
            <w:pPr>
              <w:jc w:val="center"/>
              <w:ind w:left="1750"/>
              <w:spacing w:after="0"/>
              <w:rPr>
                <w:sz w:val="20"/>
                <w:szCs w:val="20"/>
                <w:color w:val="auto"/>
              </w:rPr>
            </w:pPr>
            <w:r>
              <w:rPr>
                <w:rFonts w:ascii="Arial" w:cs="Arial" w:eastAsia="Arial" w:hAnsi="Arial"/>
                <w:sz w:val="18"/>
                <w:szCs w:val="18"/>
                <w:i w:val="1"/>
                <w:iCs w:val="1"/>
                <w:color w:val="auto"/>
                <w:w w:val="94"/>
              </w:rPr>
              <w:t>Identification No.)</w:t>
            </w:r>
          </w:p>
        </w:tc>
      </w:tr>
      <w:tr>
        <w:trPr>
          <w:trHeight w:val="216"/>
        </w:trPr>
        <w:tc>
          <w:tcPr>
            <w:tcW w:w="4560" w:type="dxa"/>
            <w:vAlign w:val="bottom"/>
          </w:tcPr>
          <w:p>
            <w:pPr>
              <w:jc w:val="center"/>
              <w:ind w:right="710"/>
              <w:spacing w:after="0"/>
              <w:rPr>
                <w:sz w:val="20"/>
                <w:szCs w:val="20"/>
                <w:color w:val="auto"/>
              </w:rPr>
            </w:pPr>
            <w:r>
              <w:rPr>
                <w:rFonts w:ascii="Arial" w:cs="Arial" w:eastAsia="Arial" w:hAnsi="Arial"/>
                <w:sz w:val="18"/>
                <w:szCs w:val="18"/>
                <w:b w:val="1"/>
                <w:bCs w:val="1"/>
                <w:color w:val="auto"/>
                <w:w w:val="91"/>
              </w:rPr>
              <w:t>650 Madison Avenue, New York, New York</w:t>
            </w:r>
          </w:p>
        </w:tc>
        <w:tc>
          <w:tcPr>
            <w:tcW w:w="4560" w:type="dxa"/>
            <w:vAlign w:val="bottom"/>
          </w:tcPr>
          <w:p>
            <w:pPr>
              <w:jc w:val="right"/>
              <w:ind w:right="1050"/>
              <w:spacing w:after="0"/>
              <w:rPr>
                <w:sz w:val="20"/>
                <w:szCs w:val="20"/>
                <w:color w:val="auto"/>
              </w:rPr>
            </w:pPr>
            <w:r>
              <w:rPr>
                <w:rFonts w:ascii="Arial" w:cs="Arial" w:eastAsia="Arial" w:hAnsi="Arial"/>
                <w:sz w:val="18"/>
                <w:szCs w:val="18"/>
                <w:b w:val="1"/>
                <w:bCs w:val="1"/>
                <w:color w:val="auto"/>
              </w:rPr>
              <w:t>10022</w:t>
            </w:r>
          </w:p>
        </w:tc>
      </w:tr>
      <w:tr>
        <w:trPr>
          <w:trHeight w:val="220"/>
        </w:trPr>
        <w:tc>
          <w:tcPr>
            <w:tcW w:w="4560" w:type="dxa"/>
            <w:vAlign w:val="bottom"/>
          </w:tcPr>
          <w:p>
            <w:pPr>
              <w:jc w:val="center"/>
              <w:ind w:right="710"/>
              <w:spacing w:after="0"/>
              <w:rPr>
                <w:sz w:val="20"/>
                <w:szCs w:val="20"/>
                <w:color w:val="auto"/>
              </w:rPr>
            </w:pPr>
            <w:r>
              <w:rPr>
                <w:rFonts w:ascii="Arial" w:cs="Arial" w:eastAsia="Arial" w:hAnsi="Arial"/>
                <w:sz w:val="18"/>
                <w:szCs w:val="18"/>
                <w:b w:val="1"/>
                <w:bCs w:val="1"/>
                <w:color w:val="auto"/>
                <w:w w:val="90"/>
              </w:rPr>
              <w:t>(212) 318-7000</w:t>
            </w:r>
          </w:p>
        </w:tc>
        <w:tc>
          <w:tcPr>
            <w:tcW w:w="4560" w:type="dxa"/>
            <w:vAlign w:val="bottom"/>
          </w:tcPr>
          <w:p>
            <w:pPr>
              <w:jc w:val="center"/>
              <w:ind w:left="1750"/>
              <w:spacing w:after="0"/>
              <w:rPr>
                <w:sz w:val="20"/>
                <w:szCs w:val="20"/>
                <w:color w:val="auto"/>
              </w:rPr>
            </w:pPr>
            <w:r>
              <w:rPr>
                <w:rFonts w:ascii="Arial" w:cs="Arial" w:eastAsia="Arial" w:hAnsi="Arial"/>
                <w:sz w:val="18"/>
                <w:szCs w:val="18"/>
                <w:i w:val="1"/>
                <w:iCs w:val="1"/>
                <w:color w:val="auto"/>
                <w:w w:val="94"/>
              </w:rPr>
              <w:t>(Zip Code)</w:t>
            </w:r>
          </w:p>
        </w:tc>
      </w:tr>
      <w:tr>
        <w:trPr>
          <w:trHeight w:val="230"/>
        </w:trPr>
        <w:tc>
          <w:tcPr>
            <w:tcW w:w="4560" w:type="dxa"/>
            <w:vAlign w:val="bottom"/>
          </w:tcPr>
          <w:p>
            <w:pPr>
              <w:jc w:val="center"/>
              <w:ind w:right="71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4560" w:type="dxa"/>
            <w:vAlign w:val="bottom"/>
          </w:tcPr>
          <w:p>
            <w:pPr>
              <w:spacing w:after="0"/>
              <w:rPr>
                <w:sz w:val="20"/>
                <w:szCs w:val="20"/>
                <w:color w:val="auto"/>
              </w:rPr>
            </w:pPr>
          </w:p>
        </w:tc>
      </w:tr>
      <w:tr>
        <w:trPr>
          <w:trHeight w:val="324"/>
        </w:trPr>
        <w:tc>
          <w:tcPr>
            <w:tcW w:w="9120" w:type="dxa"/>
            <w:vAlign w:val="bottom"/>
            <w:gridSpan w:val="2"/>
          </w:tcPr>
          <w:p>
            <w:pPr>
              <w:ind w:left="2140"/>
              <w:spacing w:after="0"/>
              <w:rPr>
                <w:sz w:val="20"/>
                <w:szCs w:val="20"/>
                <w:color w:val="auto"/>
              </w:rPr>
            </w:pPr>
            <w:r>
              <w:rPr>
                <w:rFonts w:ascii="Arial" w:cs="Arial" w:eastAsia="Arial" w:hAnsi="Arial"/>
                <w:sz w:val="18"/>
                <w:szCs w:val="18"/>
                <w:b w:val="1"/>
                <w:bCs w:val="1"/>
                <w:color w:val="auto"/>
              </w:rPr>
              <w:t>Securities registered pursuant to Section 12(b) of the Act:</w:t>
            </w:r>
          </w:p>
        </w:tc>
      </w:tr>
      <w:tr>
        <w:trPr>
          <w:trHeight w:val="319"/>
        </w:trPr>
        <w:tc>
          <w:tcPr>
            <w:tcW w:w="4560" w:type="dxa"/>
            <w:vAlign w:val="bottom"/>
          </w:tcPr>
          <w:p>
            <w:pPr>
              <w:jc w:val="center"/>
              <w:ind w:right="1510"/>
              <w:spacing w:after="0"/>
              <w:rPr>
                <w:sz w:val="20"/>
                <w:szCs w:val="20"/>
                <w:color w:val="auto"/>
              </w:rPr>
            </w:pPr>
            <w:r>
              <w:rPr>
                <w:rFonts w:ascii="Arial" w:cs="Arial" w:eastAsia="Arial" w:hAnsi="Arial"/>
                <w:sz w:val="18"/>
                <w:szCs w:val="18"/>
                <w:b w:val="1"/>
                <w:bCs w:val="1"/>
                <w:color w:val="auto"/>
                <w:w w:val="89"/>
              </w:rPr>
              <w:t>Title of Each Class</w:t>
            </w:r>
          </w:p>
        </w:tc>
        <w:tc>
          <w:tcPr>
            <w:tcW w:w="4560" w:type="dxa"/>
            <w:vAlign w:val="bottom"/>
          </w:tcPr>
          <w:p>
            <w:pPr>
              <w:jc w:val="center"/>
              <w:ind w:left="95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34"/>
        </w:trPr>
        <w:tc>
          <w:tcPr>
            <w:tcW w:w="4560" w:type="dxa"/>
            <w:vAlign w:val="bottom"/>
          </w:tcPr>
          <w:p>
            <w:pPr>
              <w:jc w:val="center"/>
              <w:ind w:right="1490"/>
              <w:spacing w:after="0"/>
              <w:rPr>
                <w:sz w:val="20"/>
                <w:szCs w:val="20"/>
                <w:color w:val="auto"/>
              </w:rPr>
            </w:pPr>
            <w:r>
              <w:rPr>
                <w:rFonts w:ascii="Arial" w:cs="Arial" w:eastAsia="Arial" w:hAnsi="Arial"/>
                <w:sz w:val="18"/>
                <w:szCs w:val="18"/>
                <w:b w:val="1"/>
                <w:bCs w:val="1"/>
                <w:color w:val="auto"/>
                <w:w w:val="89"/>
              </w:rPr>
              <w:t>Class A Common Stock, $.01 par value</w:t>
            </w:r>
          </w:p>
        </w:tc>
        <w:tc>
          <w:tcPr>
            <w:tcW w:w="4560" w:type="dxa"/>
            <w:vAlign w:val="bottom"/>
          </w:tcPr>
          <w:p>
            <w:pPr>
              <w:jc w:val="center"/>
              <w:ind w:left="950"/>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21" w:lineRule="exact"/>
        <w:rPr>
          <w:sz w:val="20"/>
          <w:szCs w:val="20"/>
          <w:color w:val="auto"/>
        </w:rPr>
      </w:pPr>
    </w:p>
    <w:p>
      <w:pPr>
        <w:ind w:right="140" w:firstLine="27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41" w:lineRule="exact"/>
        <w:rPr>
          <w:sz w:val="20"/>
          <w:szCs w:val="20"/>
          <w:color w:val="auto"/>
        </w:rPr>
      </w:pPr>
    </w:p>
    <w:p>
      <w:pPr>
        <w:ind w:left="280"/>
        <w:spacing w:after="0" w:line="207" w:lineRule="exact"/>
        <w:tabs>
          <w:tab w:leader="none" w:pos="9000" w:val="left"/>
          <w:tab w:leader="none" w:pos="9920" w:val="left"/>
        </w:tabs>
        <w:rPr>
          <w:sz w:val="20"/>
          <w:szCs w:val="20"/>
          <w:color w:val="auto"/>
        </w:rPr>
      </w:pPr>
      <w:r>
        <w:rPr>
          <w:rFonts w:ascii="Arial" w:cs="Arial" w:eastAsia="Arial" w:hAnsi="Arial"/>
          <w:sz w:val="17"/>
          <w:szCs w:val="17"/>
          <w:color w:val="auto"/>
        </w:rPr>
        <w:t>Indicate by check mark whether the registrant is an accelerated filer (as described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o</w:t>
      </w:r>
    </w:p>
    <w:p>
      <w:pPr>
        <w:spacing w:after="0" w:line="150" w:lineRule="exact"/>
        <w:rPr>
          <w:sz w:val="20"/>
          <w:szCs w:val="20"/>
          <w:color w:val="auto"/>
        </w:rPr>
      </w:pPr>
    </w:p>
    <w:p>
      <w:pPr>
        <w:ind w:right="360" w:firstLine="267"/>
        <w:spacing w:after="0" w:line="277" w:lineRule="auto"/>
        <w:rPr>
          <w:sz w:val="20"/>
          <w:szCs w:val="20"/>
          <w:color w:val="auto"/>
        </w:rPr>
      </w:pPr>
      <w:r>
        <w:rPr>
          <w:rFonts w:ascii="Arial" w:cs="Arial" w:eastAsia="Arial" w:hAnsi="Arial"/>
          <w:sz w:val="18"/>
          <w:szCs w:val="18"/>
          <w:color w:val="auto"/>
        </w:rPr>
        <w:t>The aggregate market value of the registrant’s voting stock held by nonaffiliates of the registrant was approximately $2,150,660,208 as of October 1, 2004, the last business day of the registrant’s most recently completed second fiscal quarter.</w:t>
      </w:r>
    </w:p>
    <w:p>
      <w:pPr>
        <w:spacing w:after="0" w:line="62" w:lineRule="exact"/>
        <w:rPr>
          <w:sz w:val="20"/>
          <w:szCs w:val="20"/>
          <w:color w:val="auto"/>
        </w:rPr>
      </w:pPr>
    </w:p>
    <w:p>
      <w:pPr>
        <w:ind w:right="260" w:firstLine="260"/>
        <w:spacing w:after="0" w:line="277" w:lineRule="auto"/>
        <w:rPr>
          <w:sz w:val="20"/>
          <w:szCs w:val="20"/>
          <w:color w:val="auto"/>
        </w:rPr>
      </w:pPr>
      <w:r>
        <w:rPr>
          <w:rFonts w:ascii="Arial" w:cs="Arial" w:eastAsia="Arial" w:hAnsi="Arial"/>
          <w:sz w:val="18"/>
          <w:szCs w:val="18"/>
          <w:color w:val="auto"/>
        </w:rPr>
        <w:t>At June 10, 2005, 2005, 58,975,253 shares of the registrant’s Class A Common Stock, $.01 par value and 43,280,021 shares of the registrant’s Class B Common Stock, $.01 par value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Business</w:t>
        </w:r>
      </w:hyperlink>
    </w:p>
    <w:p>
      <w:pPr>
        <w:ind w:left="320"/>
        <w:spacing w:after="0" w:line="230" w:lineRule="auto"/>
        <w:rPr>
          <w:rFonts w:ascii="Arial" w:cs="Arial" w:eastAsia="Arial" w:hAnsi="Arial"/>
          <w:sz w:val="22"/>
          <w:szCs w:val="22"/>
          <w:u w:val="single" w:color="auto"/>
          <w:color w:val="0000EE"/>
        </w:rPr>
      </w:pPr>
      <w:hyperlink w:anchor="page28">
        <w:r>
          <w:rPr>
            <w:rFonts w:ascii="Arial" w:cs="Arial" w:eastAsia="Arial" w:hAnsi="Arial"/>
            <w:sz w:val="22"/>
            <w:szCs w:val="22"/>
            <w:u w:val="single" w:color="auto"/>
            <w:color w:val="0000EE"/>
          </w:rPr>
          <w:t>Item 2. Properties</w:t>
        </w:r>
      </w:hyperlink>
    </w:p>
    <w:p>
      <w:pPr>
        <w:ind w:left="320"/>
        <w:spacing w:after="0" w:line="231" w:lineRule="auto"/>
        <w:rPr>
          <w:rFonts w:ascii="Arial" w:cs="Arial" w:eastAsia="Arial" w:hAnsi="Arial"/>
          <w:sz w:val="22"/>
          <w:szCs w:val="22"/>
          <w:u w:val="single" w:color="auto"/>
          <w:color w:val="0000EE"/>
        </w:rPr>
      </w:pPr>
      <w:hyperlink w:anchor="page29">
        <w:r>
          <w:rPr>
            <w:rFonts w:ascii="Arial" w:cs="Arial" w:eastAsia="Arial" w:hAnsi="Arial"/>
            <w:sz w:val="22"/>
            <w:szCs w:val="22"/>
            <w:u w:val="single" w:color="auto"/>
            <w:color w:val="0000EE"/>
          </w:rPr>
          <w:t>Item 3. Legal Proceedings</w:t>
        </w:r>
      </w:hyperlink>
    </w:p>
    <w:p>
      <w:pPr>
        <w:ind w:left="320"/>
        <w:spacing w:after="0" w:line="231" w:lineRule="auto"/>
        <w:rPr>
          <w:rFonts w:ascii="Arial" w:cs="Arial" w:eastAsia="Arial" w:hAnsi="Arial"/>
          <w:sz w:val="22"/>
          <w:szCs w:val="22"/>
          <w:u w:val="single" w:color="auto"/>
          <w:color w:val="0000EE"/>
        </w:rPr>
      </w:pPr>
      <w:hyperlink w:anchor="page31">
        <w:r>
          <w:rPr>
            <w:rFonts w:ascii="Arial" w:cs="Arial" w:eastAsia="Arial" w:hAnsi="Arial"/>
            <w:sz w:val="22"/>
            <w:szCs w:val="22"/>
            <w:u w:val="single" w:color="auto"/>
            <w:color w:val="0000EE"/>
          </w:rPr>
          <w:t>Item 4. Submission of Matters to a Vote of Security Holders</w:t>
        </w:r>
      </w:hyperlink>
    </w:p>
    <w:p>
      <w:pPr>
        <w:spacing w:after="0" w:line="230" w:lineRule="auto"/>
        <w:rPr>
          <w:rFonts w:ascii="Arial" w:cs="Arial" w:eastAsia="Arial" w:hAnsi="Arial"/>
          <w:sz w:val="22"/>
          <w:szCs w:val="22"/>
          <w:u w:val="single" w:color="auto"/>
          <w:color w:val="0000EE"/>
        </w:rPr>
      </w:pPr>
      <w:hyperlink w:anchor="page32">
        <w:r>
          <w:rPr>
            <w:rFonts w:ascii="Arial" w:cs="Arial" w:eastAsia="Arial" w:hAnsi="Arial"/>
            <w:sz w:val="22"/>
            <w:szCs w:val="22"/>
            <w:u w:val="single" w:color="auto"/>
            <w:color w:val="0000EE"/>
          </w:rPr>
          <w:t>PART II</w:t>
        </w:r>
      </w:hyperlink>
    </w:p>
    <w:p>
      <w:pPr>
        <w:spacing w:after="0" w:line="1" w:lineRule="exact"/>
        <w:rPr>
          <w:sz w:val="20"/>
          <w:szCs w:val="20"/>
          <w:color w:val="auto"/>
        </w:rPr>
      </w:pPr>
    </w:p>
    <w:p>
      <w:pPr>
        <w:ind w:left="320" w:right="2159"/>
        <w:spacing w:after="0" w:line="230" w:lineRule="auto"/>
        <w:rPr>
          <w:rFonts w:ascii="Arial" w:cs="Arial" w:eastAsia="Arial" w:hAnsi="Arial"/>
          <w:sz w:val="22"/>
          <w:szCs w:val="22"/>
          <w:u w:val="single" w:color="auto"/>
          <w:color w:val="0000EE"/>
        </w:rPr>
      </w:pPr>
      <w:hyperlink w:anchor="page32">
        <w:r>
          <w:rPr>
            <w:rFonts w:ascii="Arial" w:cs="Arial" w:eastAsia="Arial" w:hAnsi="Arial"/>
            <w:sz w:val="22"/>
            <w:szCs w:val="22"/>
            <w:u w:val="single" w:color="auto"/>
            <w:color w:val="0000EE"/>
          </w:rPr>
          <w:t>Item 5. Market for Registrants’ Common Equity and Related Stockholders Matters</w:t>
        </w:r>
      </w:hyperlink>
      <w:r>
        <w:rPr>
          <w:rFonts w:ascii="Arial" w:cs="Arial" w:eastAsia="Arial" w:hAnsi="Arial"/>
          <w:sz w:val="22"/>
          <w:szCs w:val="22"/>
          <w:u w:val="single" w:color="auto"/>
          <w:color w:val="0000EE"/>
        </w:rPr>
        <w:t xml:space="preserve"> </w:t>
      </w:r>
      <w:hyperlink w:anchor="page33">
        <w:r>
          <w:rPr>
            <w:rFonts w:ascii="Arial" w:cs="Arial" w:eastAsia="Arial" w:hAnsi="Arial"/>
            <w:sz w:val="22"/>
            <w:szCs w:val="22"/>
            <w:u w:val="single" w:color="auto"/>
            <w:color w:val="0000EE"/>
          </w:rPr>
          <w:t>Item 6. Selected Financial Data</w:t>
        </w:r>
      </w:hyperlink>
    </w:p>
    <w:p>
      <w:pPr>
        <w:spacing w:after="0" w:line="1" w:lineRule="exact"/>
        <w:rPr>
          <w:sz w:val="20"/>
          <w:szCs w:val="20"/>
          <w:color w:val="auto"/>
        </w:rPr>
      </w:pPr>
    </w:p>
    <w:p>
      <w:pPr>
        <w:ind w:left="320" w:right="899"/>
        <w:spacing w:after="0" w:line="230" w:lineRule="auto"/>
        <w:rPr>
          <w:rFonts w:ascii="Arial" w:cs="Arial" w:eastAsia="Arial" w:hAnsi="Arial"/>
          <w:sz w:val="22"/>
          <w:szCs w:val="22"/>
          <w:u w:val="single" w:color="auto"/>
          <w:color w:val="0000EE"/>
        </w:rPr>
      </w:pPr>
      <w:hyperlink w:anchor="page35">
        <w:r>
          <w:rPr>
            <w:rFonts w:ascii="Arial" w:cs="Arial" w:eastAsia="Arial" w:hAnsi="Arial"/>
            <w:sz w:val="22"/>
            <w:szCs w:val="22"/>
            <w:u w:val="single" w:color="auto"/>
            <w:color w:val="0000EE"/>
          </w:rPr>
          <w:t>Item 7.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56">
        <w:r>
          <w:rPr>
            <w:rFonts w:ascii="Arial" w:cs="Arial" w:eastAsia="Arial" w:hAnsi="Arial"/>
            <w:sz w:val="22"/>
            <w:szCs w:val="22"/>
            <w:u w:val="single" w:color="auto"/>
            <w:color w:val="0000EE"/>
          </w:rPr>
          <w:t>Item 7A. Quantitative and Qualitative Disclosures About Market Risk</w:t>
        </w:r>
      </w:hyperlink>
      <w:r>
        <w:rPr>
          <w:rFonts w:ascii="Arial" w:cs="Arial" w:eastAsia="Arial" w:hAnsi="Arial"/>
          <w:sz w:val="22"/>
          <w:szCs w:val="22"/>
          <w:u w:val="single" w:color="auto"/>
          <w:color w:val="0000EE"/>
        </w:rPr>
        <w:t xml:space="preserve"> </w:t>
      </w:r>
      <w:hyperlink w:anchor="page57">
        <w:r>
          <w:rPr>
            <w:rFonts w:ascii="Arial" w:cs="Arial" w:eastAsia="Arial" w:hAnsi="Arial"/>
            <w:sz w:val="22"/>
            <w:szCs w:val="22"/>
            <w:u w:val="single" w:color="auto"/>
            <w:color w:val="0000EE"/>
          </w:rPr>
          <w:t>Item 8. Financial Statements and Supplementary Data</w:t>
        </w:r>
      </w:hyperlink>
    </w:p>
    <w:p>
      <w:pPr>
        <w:spacing w:after="0" w:line="2" w:lineRule="exact"/>
        <w:rPr>
          <w:rFonts w:ascii="Arial" w:cs="Arial" w:eastAsia="Arial" w:hAnsi="Arial"/>
          <w:sz w:val="22"/>
          <w:szCs w:val="22"/>
          <w:u w:val="single" w:color="auto"/>
          <w:color w:val="0000EE"/>
        </w:rPr>
      </w:pPr>
    </w:p>
    <w:p>
      <w:pPr>
        <w:ind w:left="320" w:right="879"/>
        <w:spacing w:after="0" w:line="230" w:lineRule="auto"/>
        <w:rPr>
          <w:rFonts w:ascii="Arial" w:cs="Arial" w:eastAsia="Arial" w:hAnsi="Arial"/>
          <w:sz w:val="22"/>
          <w:szCs w:val="22"/>
          <w:u w:val="single" w:color="auto"/>
          <w:color w:val="0000EE"/>
        </w:rPr>
      </w:pPr>
      <w:hyperlink w:anchor="page57">
        <w:r>
          <w:rPr>
            <w:rFonts w:ascii="Arial" w:cs="Arial" w:eastAsia="Arial" w:hAnsi="Arial"/>
            <w:sz w:val="22"/>
            <w:szCs w:val="22"/>
            <w:u w:val="single" w:color="auto"/>
            <w:color w:val="0000EE"/>
          </w:rPr>
          <w:t>Item 9. Changes in and Disagreements with Accountants on Accounting and Financial Disclosure</w:t>
        </w:r>
      </w:hyperlink>
      <w:r>
        <w:rPr>
          <w:rFonts w:ascii="Arial" w:cs="Arial" w:eastAsia="Arial" w:hAnsi="Arial"/>
          <w:sz w:val="22"/>
          <w:szCs w:val="22"/>
          <w:u w:val="single" w:color="auto"/>
          <w:color w:val="0000EE"/>
        </w:rPr>
        <w:t xml:space="preserve"> </w:t>
      </w:r>
      <w:hyperlink w:anchor="page57">
        <w:r>
          <w:rPr>
            <w:rFonts w:ascii="Arial" w:cs="Arial" w:eastAsia="Arial" w:hAnsi="Arial"/>
            <w:sz w:val="22"/>
            <w:szCs w:val="22"/>
            <w:u w:val="single" w:color="auto"/>
            <w:color w:val="0000EE"/>
          </w:rPr>
          <w:t>Item 9A. Controls and Procedures</w:t>
        </w:r>
      </w:hyperlink>
    </w:p>
    <w:p>
      <w:pPr>
        <w:spacing w:after="0" w:line="231" w:lineRule="auto"/>
        <w:rPr>
          <w:rFonts w:ascii="Arial" w:cs="Arial" w:eastAsia="Arial" w:hAnsi="Arial"/>
          <w:sz w:val="22"/>
          <w:szCs w:val="22"/>
          <w:u w:val="single" w:color="auto"/>
          <w:color w:val="0000EE"/>
        </w:rPr>
      </w:pPr>
      <w:hyperlink w:anchor="page59">
        <w:r>
          <w:rPr>
            <w:rFonts w:ascii="Arial" w:cs="Arial" w:eastAsia="Arial" w:hAnsi="Arial"/>
            <w:sz w:val="22"/>
            <w:szCs w:val="22"/>
            <w:u w:val="single" w:color="auto"/>
            <w:color w:val="0000EE"/>
          </w:rPr>
          <w:t>PART III</w:t>
        </w:r>
      </w:hyperlink>
    </w:p>
    <w:p>
      <w:pPr>
        <w:spacing w:after="0" w:line="1" w:lineRule="exact"/>
        <w:rPr>
          <w:sz w:val="20"/>
          <w:szCs w:val="20"/>
          <w:color w:val="auto"/>
        </w:rPr>
      </w:pPr>
    </w:p>
    <w:p>
      <w:pPr>
        <w:ind w:left="320" w:right="4219"/>
        <w:spacing w:after="0" w:line="230" w:lineRule="auto"/>
        <w:rPr>
          <w:rFonts w:ascii="Arial" w:cs="Arial" w:eastAsia="Arial" w:hAnsi="Arial"/>
          <w:sz w:val="22"/>
          <w:szCs w:val="22"/>
          <w:u w:val="single" w:color="auto"/>
          <w:color w:val="0000EE"/>
        </w:rPr>
      </w:pPr>
      <w:hyperlink w:anchor="page59">
        <w:r>
          <w:rPr>
            <w:rFonts w:ascii="Arial" w:cs="Arial" w:eastAsia="Arial" w:hAnsi="Arial"/>
            <w:sz w:val="22"/>
            <w:szCs w:val="22"/>
            <w:u w:val="single" w:color="auto"/>
            <w:color w:val="0000EE"/>
          </w:rPr>
          <w:t>Item 10. Directors and Executive Officers of the Registrant</w:t>
        </w:r>
      </w:hyperlink>
      <w:r>
        <w:rPr>
          <w:rFonts w:ascii="Arial" w:cs="Arial" w:eastAsia="Arial" w:hAnsi="Arial"/>
          <w:sz w:val="22"/>
          <w:szCs w:val="22"/>
          <w:u w:val="single" w:color="auto"/>
          <w:color w:val="0000EE"/>
        </w:rPr>
        <w:t xml:space="preserve"> </w:t>
      </w:r>
      <w:hyperlink w:anchor="page59">
        <w:r>
          <w:rPr>
            <w:rFonts w:ascii="Arial" w:cs="Arial" w:eastAsia="Arial" w:hAnsi="Arial"/>
            <w:sz w:val="22"/>
            <w:szCs w:val="22"/>
            <w:u w:val="single" w:color="auto"/>
            <w:color w:val="0000EE"/>
          </w:rPr>
          <w:t>Item 11. Executive Compensation</w:t>
        </w:r>
      </w:hyperlink>
    </w:p>
    <w:p>
      <w:pPr>
        <w:spacing w:after="0" w:line="1" w:lineRule="exact"/>
        <w:rPr>
          <w:sz w:val="20"/>
          <w:szCs w:val="20"/>
          <w:color w:val="auto"/>
        </w:rPr>
      </w:pPr>
    </w:p>
    <w:p>
      <w:pPr>
        <w:ind w:left="320" w:right="2699"/>
        <w:spacing w:after="0" w:line="230" w:lineRule="auto"/>
        <w:rPr>
          <w:rFonts w:ascii="Arial" w:cs="Arial" w:eastAsia="Arial" w:hAnsi="Arial"/>
          <w:sz w:val="22"/>
          <w:szCs w:val="22"/>
          <w:u w:val="single" w:color="auto"/>
          <w:color w:val="0000EE"/>
        </w:rPr>
      </w:pPr>
      <w:hyperlink w:anchor="page59">
        <w:r>
          <w:rPr>
            <w:rFonts w:ascii="Arial" w:cs="Arial" w:eastAsia="Arial" w:hAnsi="Arial"/>
            <w:sz w:val="22"/>
            <w:szCs w:val="22"/>
            <w:u w:val="single" w:color="auto"/>
            <w:color w:val="0000EE"/>
          </w:rPr>
          <w:t>Item 12. Security Ownership of Certain Beneficial Owners and Management</w:t>
        </w:r>
      </w:hyperlink>
      <w:r>
        <w:rPr>
          <w:rFonts w:ascii="Arial" w:cs="Arial" w:eastAsia="Arial" w:hAnsi="Arial"/>
          <w:sz w:val="22"/>
          <w:szCs w:val="22"/>
          <w:u w:val="single" w:color="auto"/>
          <w:color w:val="0000EE"/>
        </w:rPr>
        <w:t xml:space="preserve"> </w:t>
      </w:r>
      <w:hyperlink w:anchor="page60">
        <w:r>
          <w:rPr>
            <w:rFonts w:ascii="Arial" w:cs="Arial" w:eastAsia="Arial" w:hAnsi="Arial"/>
            <w:sz w:val="22"/>
            <w:szCs w:val="22"/>
            <w:u w:val="single" w:color="auto"/>
            <w:color w:val="0000EE"/>
          </w:rPr>
          <w:t>Item 13. Certain Relationships and Related Transactions</w:t>
        </w:r>
      </w:hyperlink>
      <w:r>
        <w:rPr>
          <w:rFonts w:ascii="Arial" w:cs="Arial" w:eastAsia="Arial" w:hAnsi="Arial"/>
          <w:sz w:val="22"/>
          <w:szCs w:val="22"/>
          <w:u w:val="single" w:color="auto"/>
          <w:color w:val="0000EE"/>
        </w:rPr>
        <w:t xml:space="preserve"> </w:t>
      </w:r>
      <w:hyperlink w:anchor="page60">
        <w:r>
          <w:rPr>
            <w:rFonts w:ascii="Arial" w:cs="Arial" w:eastAsia="Arial" w:hAnsi="Arial"/>
            <w:sz w:val="22"/>
            <w:szCs w:val="22"/>
            <w:u w:val="single" w:color="auto"/>
            <w:color w:val="0000EE"/>
          </w:rPr>
          <w:t>Item 14. Principal Accounting Fees and Services</w:t>
        </w:r>
      </w:hyperlink>
    </w:p>
    <w:p>
      <w:pPr>
        <w:spacing w:after="0" w:line="232" w:lineRule="auto"/>
        <w:rPr>
          <w:rFonts w:ascii="Arial" w:cs="Arial" w:eastAsia="Arial" w:hAnsi="Arial"/>
          <w:sz w:val="22"/>
          <w:szCs w:val="22"/>
          <w:u w:val="single" w:color="auto"/>
          <w:color w:val="0000EE"/>
        </w:rPr>
      </w:pPr>
      <w:hyperlink w:anchor="page60">
        <w:r>
          <w:rPr>
            <w:rFonts w:ascii="Arial" w:cs="Arial" w:eastAsia="Arial" w:hAnsi="Arial"/>
            <w:sz w:val="22"/>
            <w:szCs w:val="22"/>
            <w:u w:val="single" w:color="auto"/>
            <w:color w:val="0000EE"/>
          </w:rPr>
          <w:t>PART IV</w:t>
        </w:r>
      </w:hyperlink>
    </w:p>
    <w:p>
      <w:pPr>
        <w:ind w:left="320"/>
        <w:spacing w:after="0" w:line="231" w:lineRule="auto"/>
        <w:rPr>
          <w:rFonts w:ascii="Arial" w:cs="Arial" w:eastAsia="Arial" w:hAnsi="Arial"/>
          <w:sz w:val="22"/>
          <w:szCs w:val="22"/>
          <w:u w:val="single" w:color="auto"/>
          <w:color w:val="0000EE"/>
        </w:rPr>
      </w:pPr>
      <w:hyperlink w:anchor="page60">
        <w:r>
          <w:rPr>
            <w:rFonts w:ascii="Arial" w:cs="Arial" w:eastAsia="Arial" w:hAnsi="Arial"/>
            <w:sz w:val="22"/>
            <w:szCs w:val="22"/>
            <w:u w:val="single" w:color="auto"/>
            <w:color w:val="0000EE"/>
          </w:rPr>
          <w:t>Item 15. Exhibits and Financial Statement Schedules</w:t>
        </w:r>
      </w:hyperlink>
    </w:p>
    <w:p>
      <w:pPr>
        <w:spacing w:after="0" w:line="230" w:lineRule="auto"/>
        <w:rPr>
          <w:rFonts w:ascii="Arial" w:cs="Arial" w:eastAsia="Arial" w:hAnsi="Arial"/>
          <w:sz w:val="22"/>
          <w:szCs w:val="22"/>
          <w:u w:val="single" w:color="auto"/>
          <w:color w:val="0000EE"/>
        </w:rPr>
      </w:pPr>
      <w:hyperlink w:anchor="page63">
        <w:r>
          <w:rPr>
            <w:rFonts w:ascii="Arial" w:cs="Arial" w:eastAsia="Arial" w:hAnsi="Arial"/>
            <w:sz w:val="22"/>
            <w:szCs w:val="22"/>
            <w:u w:val="single" w:color="auto"/>
            <w:color w:val="0000EE"/>
          </w:rPr>
          <w:t>SIGNATURES</w:t>
        </w:r>
      </w:hyperlink>
    </w:p>
    <w:p>
      <w:pPr>
        <w:spacing w:after="0" w:line="1" w:lineRule="exact"/>
        <w:rPr>
          <w:rFonts w:ascii="Arial" w:cs="Arial" w:eastAsia="Arial" w:hAnsi="Arial"/>
          <w:sz w:val="22"/>
          <w:szCs w:val="22"/>
          <w:u w:val="single" w:color="auto"/>
          <w:color w:val="0000EE"/>
        </w:rPr>
      </w:pPr>
    </w:p>
    <w:p>
      <w:pPr>
        <w:ind w:right="3819"/>
        <w:spacing w:after="0" w:line="267" w:lineRule="auto"/>
        <w:rPr>
          <w:rFonts w:ascii="Arial" w:cs="Arial" w:eastAsia="Arial" w:hAnsi="Arial"/>
          <w:sz w:val="19"/>
          <w:szCs w:val="19"/>
          <w:u w:val="single" w:color="auto"/>
          <w:color w:val="0000EE"/>
        </w:rPr>
      </w:pPr>
      <w:hyperlink w:anchor="page64">
        <w:r>
          <w:rPr>
            <w:rFonts w:ascii="Arial" w:cs="Arial" w:eastAsia="Arial" w:hAnsi="Arial"/>
            <w:sz w:val="19"/>
            <w:szCs w:val="19"/>
            <w:u w:val="single" w:color="auto"/>
            <w:color w:val="0000EE"/>
          </w:rPr>
          <w:t>INDEX TO CONSOLIDATED FINANCIAL STATEMENTS</w:t>
        </w:r>
      </w:hyperlink>
      <w:r>
        <w:rPr>
          <w:rFonts w:ascii="Arial" w:cs="Arial" w:eastAsia="Arial" w:hAnsi="Arial"/>
          <w:sz w:val="19"/>
          <w:szCs w:val="19"/>
          <w:u w:val="single" w:color="auto"/>
          <w:color w:val="0000EE"/>
        </w:rPr>
        <w:t xml:space="preserve"> EX-10.14: NON-QUALIFIED STOCK OPTION AGREEMENT EX-10.15: RESTRICTED STOCK UNIT AWARD AGREEMENT EX-10.18: RESTRICTED STOCK UNIT AWARD AGREEMENT EX-10.19: RESTRICTED STOCK AWARD AGREEMENT EX-10.20: NON-QUALIFIED STOCK OPTION AGREEMENT EX-10.21: DEFERRED COMPENSATION AGREEMENT</w:t>
      </w:r>
    </w:p>
    <w:p>
      <w:pPr>
        <w:spacing w:after="0" w:line="230" w:lineRule="auto"/>
        <w:rPr>
          <w:sz w:val="20"/>
          <w:szCs w:val="20"/>
          <w:color w:val="auto"/>
        </w:rPr>
      </w:pPr>
      <w:r>
        <w:rPr>
          <w:rFonts w:ascii="Arial" w:cs="Arial" w:eastAsia="Arial" w:hAnsi="Arial"/>
          <w:sz w:val="22"/>
          <w:szCs w:val="22"/>
          <w:u w:val="single" w:color="auto"/>
          <w:color w:val="0000EE"/>
        </w:rPr>
        <w:t>EX-10.25: RESTRICTED PERFORMANCE SHARE UNIT AWARD OVERVIEW</w:t>
      </w:r>
    </w:p>
    <w:p>
      <w:pPr>
        <w:spacing w:after="0" w:line="231" w:lineRule="auto"/>
        <w:rPr>
          <w:sz w:val="20"/>
          <w:szCs w:val="20"/>
          <w:color w:val="auto"/>
        </w:rPr>
      </w:pPr>
      <w:r>
        <w:rPr>
          <w:rFonts w:ascii="Arial" w:cs="Arial" w:eastAsia="Arial" w:hAnsi="Arial"/>
          <w:sz w:val="22"/>
          <w:szCs w:val="22"/>
          <w:u w:val="single" w:color="auto"/>
          <w:color w:val="0000EE"/>
        </w:rPr>
        <w:t>EX-10.26: STOCK OPTION AWARD OVERVIEW</w:t>
      </w:r>
    </w:p>
    <w:p>
      <w:pPr>
        <w:spacing w:after="0" w:line="231" w:lineRule="auto"/>
        <w:rPr>
          <w:sz w:val="20"/>
          <w:szCs w:val="20"/>
          <w:color w:val="auto"/>
        </w:rPr>
      </w:pPr>
      <w:r>
        <w:rPr>
          <w:rFonts w:ascii="Arial" w:cs="Arial" w:eastAsia="Arial" w:hAnsi="Arial"/>
          <w:sz w:val="22"/>
          <w:szCs w:val="22"/>
          <w:u w:val="single" w:color="auto"/>
          <w:color w:val="0000EE"/>
        </w:rPr>
        <w:t>EX-21.1: LIST OF SIGNIFICANT SUBSIDIARIES</w:t>
      </w:r>
    </w:p>
    <w:p>
      <w:pPr>
        <w:spacing w:after="0" w:line="230" w:lineRule="auto"/>
        <w:rPr>
          <w:sz w:val="20"/>
          <w:szCs w:val="20"/>
          <w:color w:val="auto"/>
        </w:rPr>
      </w:pPr>
      <w:r>
        <w:rPr>
          <w:rFonts w:ascii="Arial" w:cs="Arial" w:eastAsia="Arial" w:hAnsi="Arial"/>
          <w:sz w:val="22"/>
          <w:szCs w:val="22"/>
          <w:u w:val="single" w:color="auto"/>
          <w:color w:val="0000EE"/>
        </w:rPr>
        <w:t>EX-23.1: CONSENT OF DELOITTE &amp; TOUCHE LLP</w:t>
      </w:r>
    </w:p>
    <w:p>
      <w:pPr>
        <w:spacing w:after="0" w:line="231" w:lineRule="auto"/>
        <w:rPr>
          <w:sz w:val="20"/>
          <w:szCs w:val="20"/>
          <w:color w:val="auto"/>
        </w:rPr>
      </w:pPr>
      <w:r>
        <w:rPr>
          <w:rFonts w:ascii="Arial" w:cs="Arial" w:eastAsia="Arial" w:hAnsi="Arial"/>
          <w:sz w:val="22"/>
          <w:szCs w:val="22"/>
          <w:u w:val="single" w:color="auto"/>
          <w:color w:val="0000EE"/>
        </w:rPr>
        <w:t>EX-31.1: CERTIFICATION</w:t>
      </w:r>
    </w:p>
    <w:p>
      <w:pPr>
        <w:spacing w:after="0" w:line="230" w:lineRule="auto"/>
        <w:rPr>
          <w:sz w:val="20"/>
          <w:szCs w:val="20"/>
          <w:color w:val="auto"/>
        </w:rPr>
      </w:pPr>
      <w:r>
        <w:rPr>
          <w:rFonts w:ascii="Arial" w:cs="Arial" w:eastAsia="Arial" w:hAnsi="Arial"/>
          <w:sz w:val="22"/>
          <w:szCs w:val="22"/>
          <w:u w:val="single" w:color="auto"/>
          <w:color w:val="0000EE"/>
        </w:rPr>
        <w:t>EX-31.2: CERTIFICATION</w:t>
      </w:r>
    </w:p>
    <w:p>
      <w:pPr>
        <w:spacing w:after="0" w:line="231" w:lineRule="auto"/>
        <w:rPr>
          <w:sz w:val="20"/>
          <w:szCs w:val="20"/>
          <w:color w:val="auto"/>
        </w:rPr>
      </w:pPr>
      <w:r>
        <w:rPr>
          <w:rFonts w:ascii="Arial" w:cs="Arial" w:eastAsia="Arial" w:hAnsi="Arial"/>
          <w:sz w:val="22"/>
          <w:szCs w:val="22"/>
          <w:u w:val="single" w:color="auto"/>
          <w:color w:val="0000EE"/>
        </w:rPr>
        <w:t>EX-32.1: CERTIFICATION</w:t>
      </w:r>
    </w:p>
    <w:p>
      <w:pPr>
        <w:spacing w:after="0" w:line="1" w:lineRule="exact"/>
        <w:rPr>
          <w:rFonts w:ascii="Arial" w:cs="Arial" w:eastAsia="Arial" w:hAnsi="Arial"/>
          <w:sz w:val="22"/>
          <w:szCs w:val="22"/>
          <w:u w:val="single" w:color="auto"/>
          <w:color w:val="0000EE"/>
        </w:rPr>
      </w:pPr>
    </w:p>
    <w:p>
      <w:pPr>
        <w:spacing w:after="0"/>
        <w:rPr>
          <w:sz w:val="20"/>
          <w:szCs w:val="20"/>
          <w:color w:val="auto"/>
        </w:rPr>
      </w:pPr>
      <w:r>
        <w:rPr>
          <w:rFonts w:ascii="Arial" w:cs="Arial" w:eastAsia="Arial" w:hAnsi="Arial"/>
          <w:sz w:val="22"/>
          <w:szCs w:val="22"/>
          <w:u w:val="single" w:color="auto"/>
          <w:color w:val="0000EE"/>
        </w:rPr>
        <w:t>EX-32.2: CERTIFICATION</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0" w:firstLine="270"/>
        <w:spacing w:after="0" w:line="257" w:lineRule="auto"/>
        <w:rPr>
          <w:sz w:val="20"/>
          <w:szCs w:val="20"/>
          <w:color w:val="auto"/>
        </w:rPr>
      </w:pPr>
      <w:r>
        <w:rPr>
          <w:rFonts w:ascii="Arial" w:cs="Arial" w:eastAsia="Arial" w:hAnsi="Arial"/>
          <w:sz w:val="18"/>
          <w:szCs w:val="18"/>
          <w:color w:val="auto"/>
        </w:rPr>
        <w:t>In this Form 10-K, references to “Polo,” “ourselves,” “we,” “our,” “us” and the “Company” refer to Polo Ralph Lauren Corporation and its subsidiaries, unless the context requires otherwise. Due to the collaborative and ongoing nature of our relationships with our licensees, such licensees are referred to in this Form 10-K as “licensing alliances.” Our fiscal year ends on the Saturday nearest to March 31. All references to “Fiscal 2005” represent the 52-week fiscal year ended April 2, 2005. All references to “Fiscal 2004” represent the 53-week year ended April 3, 2004, while all references to “Fiscal 2003” represent the 52-week fiscal year ended March 29, 2003.</w:t>
      </w:r>
    </w:p>
    <w:p>
      <w:pPr>
        <w:spacing w:after="0" w:line="80" w:lineRule="exact"/>
        <w:rPr>
          <w:sz w:val="20"/>
          <w:szCs w:val="20"/>
          <w:color w:val="auto"/>
        </w:rPr>
      </w:pPr>
    </w:p>
    <w:p>
      <w:pPr>
        <w:ind w:firstLine="267"/>
        <w:spacing w:after="0" w:line="273" w:lineRule="auto"/>
        <w:rPr>
          <w:sz w:val="20"/>
          <w:szCs w:val="20"/>
          <w:color w:val="auto"/>
        </w:rPr>
      </w:pPr>
      <w:r>
        <w:rPr>
          <w:rFonts w:ascii="Arial" w:cs="Arial" w:eastAsia="Arial" w:hAnsi="Arial"/>
          <w:sz w:val="17"/>
          <w:szCs w:val="17"/>
          <w:color w:val="auto"/>
        </w:rPr>
        <w:t>We are a leader in the design, marketing and distribution of premium lifestyle products. For more than 37 years, our reputation and distinctive image have been consistently developed across an expanding number of products, brands and international markets. Our brand names, which include “Polo,” “Polo by Ralph Lauren,” “Ralph Lauren Purple Label,” “Polo Sport,” “Ralph Lauren,” “Blue Label,” “Lauren,” “Polo Jeans,” “RL,” “Rugby,” “Chaps” and “Club Monaco,” among others, constitute one of the world’s most widely recognized families of consumer brands. We believe that, under the direction of Ralph Lauren, the internationally renowned designer, we have influenced the manner in which people dress and live in contemporary society, reflecting an American perspective and lifestyle uniquely associated with Polo and Ralph Lauren.</w:t>
      </w:r>
    </w:p>
    <w:p>
      <w:pPr>
        <w:spacing w:after="0" w:line="70" w:lineRule="exact"/>
        <w:rPr>
          <w:sz w:val="20"/>
          <w:szCs w:val="20"/>
          <w:color w:val="auto"/>
        </w:rPr>
      </w:pPr>
    </w:p>
    <w:p>
      <w:pPr>
        <w:ind w:right="20" w:firstLine="267"/>
        <w:spacing w:after="0" w:line="308" w:lineRule="auto"/>
        <w:rPr>
          <w:sz w:val="20"/>
          <w:szCs w:val="20"/>
          <w:color w:val="auto"/>
        </w:rPr>
      </w:pPr>
      <w:r>
        <w:rPr>
          <w:rFonts w:ascii="Arial" w:cs="Arial" w:eastAsia="Arial" w:hAnsi="Arial"/>
          <w:sz w:val="17"/>
          <w:szCs w:val="17"/>
          <w:color w:val="auto"/>
        </w:rPr>
        <w:t>We operate in three business segments: wholesale, retail and licensing, and a substantial portion of our licensing business is international. We combine our consumer insight and design, marketing and imaging skills to offer, along with our licensing alliances, broad lifestyle product collections:</w:t>
      </w:r>
    </w:p>
    <w:p>
      <w:pPr>
        <w:spacing w:after="0" w:line="38" w:lineRule="exact"/>
        <w:rPr>
          <w:sz w:val="20"/>
          <w:szCs w:val="20"/>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Apparel </w:t>
      </w:r>
      <w:r>
        <w:rPr>
          <w:rFonts w:ascii="Arial" w:cs="Arial" w:eastAsia="Arial" w:hAnsi="Arial"/>
          <w:sz w:val="18"/>
          <w:szCs w:val="18"/>
          <w:color w:val="auto"/>
        </w:rPr>
        <w:t>— Products include extensive collections of men’s, women’s and children’s clothing;</w:t>
      </w:r>
    </w:p>
    <w:p>
      <w:pPr>
        <w:spacing w:after="0" w:line="130" w:lineRule="exact"/>
        <w:rPr>
          <w:rFonts w:ascii="Arial" w:cs="Arial" w:eastAsia="Arial" w:hAnsi="Arial"/>
          <w:sz w:val="18"/>
          <w:szCs w:val="18"/>
          <w:color w:val="auto"/>
        </w:rPr>
      </w:pPr>
    </w:p>
    <w:p>
      <w:pPr>
        <w:ind w:left="460" w:right="560" w:hanging="101"/>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Home </w:t>
      </w:r>
      <w:r>
        <w:rPr>
          <w:rFonts w:ascii="Arial" w:cs="Arial" w:eastAsia="Arial" w:hAnsi="Arial"/>
          <w:sz w:val="18"/>
          <w:szCs w:val="18"/>
          <w:color w:val="auto"/>
        </w:rPr>
        <w:t>— Coordinated products for the home include bedding and bath products, furniture, fabric and wallpaper, paints, broadloom, tabletop and</w:t>
      </w:r>
      <w:r>
        <w:rPr>
          <w:rFonts w:ascii="Arial" w:cs="Arial" w:eastAsia="Arial" w:hAnsi="Arial"/>
          <w:sz w:val="18"/>
          <w:szCs w:val="18"/>
          <w:i w:val="1"/>
          <w:iCs w:val="1"/>
          <w:color w:val="auto"/>
        </w:rPr>
        <w:t xml:space="preserve"> </w:t>
      </w:r>
      <w:r>
        <w:rPr>
          <w:rFonts w:ascii="Arial" w:cs="Arial" w:eastAsia="Arial" w:hAnsi="Arial"/>
          <w:sz w:val="18"/>
          <w:szCs w:val="18"/>
          <w:color w:val="auto"/>
        </w:rPr>
        <w:t>giftware;</w:t>
      </w:r>
    </w:p>
    <w:p>
      <w:pPr>
        <w:spacing w:after="0" w:line="75" w:lineRule="exact"/>
        <w:rPr>
          <w:rFonts w:ascii="Arial" w:cs="Arial" w:eastAsia="Arial" w:hAnsi="Arial"/>
          <w:sz w:val="18"/>
          <w:szCs w:val="18"/>
          <w:color w:val="auto"/>
        </w:rPr>
      </w:pPr>
    </w:p>
    <w:p>
      <w:pPr>
        <w:ind w:left="460" w:right="580" w:hanging="101"/>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Accessories </w:t>
      </w:r>
      <w:r>
        <w:rPr>
          <w:rFonts w:ascii="Arial" w:cs="Arial" w:eastAsia="Arial" w:hAnsi="Arial"/>
          <w:sz w:val="18"/>
          <w:szCs w:val="18"/>
          <w:color w:val="auto"/>
        </w:rPr>
        <w:t>— Accessories encompass a broad range of products such as footwear, eyewear, jewelry and leather goods, including handbags and</w:t>
      </w:r>
      <w:r>
        <w:rPr>
          <w:rFonts w:ascii="Arial" w:cs="Arial" w:eastAsia="Arial" w:hAnsi="Arial"/>
          <w:sz w:val="18"/>
          <w:szCs w:val="18"/>
          <w:i w:val="1"/>
          <w:iCs w:val="1"/>
          <w:color w:val="auto"/>
        </w:rPr>
        <w:t xml:space="preserve"> </w:t>
      </w:r>
      <w:r>
        <w:rPr>
          <w:rFonts w:ascii="Arial" w:cs="Arial" w:eastAsia="Arial" w:hAnsi="Arial"/>
          <w:sz w:val="18"/>
          <w:szCs w:val="18"/>
          <w:color w:val="auto"/>
        </w:rPr>
        <w:t>luggage; and</w:t>
      </w:r>
    </w:p>
    <w:p>
      <w:pPr>
        <w:spacing w:after="0" w:line="75" w:lineRule="exact"/>
        <w:rPr>
          <w:rFonts w:ascii="Arial" w:cs="Arial" w:eastAsia="Arial" w:hAnsi="Arial"/>
          <w:sz w:val="18"/>
          <w:szCs w:val="18"/>
          <w:color w:val="auto"/>
        </w:rPr>
      </w:pPr>
    </w:p>
    <w:p>
      <w:pPr>
        <w:ind w:left="460" w:right="60" w:hanging="101"/>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Fragrance </w:t>
      </w:r>
      <w:r>
        <w:rPr>
          <w:rFonts w:ascii="Arial" w:cs="Arial" w:eastAsia="Arial" w:hAnsi="Arial"/>
          <w:sz w:val="18"/>
          <w:szCs w:val="18"/>
          <w:color w:val="auto"/>
        </w:rPr>
        <w:t>— Fragrance and skin care products are sold under our Glamorous, Romance, Polo, Lauren, Safari, Blue Label, Black Label and Polo Sport</w:t>
      </w:r>
      <w:r>
        <w:rPr>
          <w:rFonts w:ascii="Arial" w:cs="Arial" w:eastAsia="Arial" w:hAnsi="Arial"/>
          <w:sz w:val="18"/>
          <w:szCs w:val="18"/>
          <w:i w:val="1"/>
          <w:iCs w:val="1"/>
          <w:color w:val="auto"/>
        </w:rPr>
        <w:t xml:space="preserve"> </w:t>
      </w:r>
      <w:r>
        <w:rPr>
          <w:rFonts w:ascii="Arial" w:cs="Arial" w:eastAsia="Arial" w:hAnsi="Arial"/>
          <w:sz w:val="18"/>
          <w:szCs w:val="18"/>
          <w:color w:val="auto"/>
        </w:rPr>
        <w:t>brands, among others.</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 was listed on the New York Stock Exchange and became publicly traded in June 1997.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Website</w:t>
      </w:r>
    </w:p>
    <w:p>
      <w:pPr>
        <w:spacing w:after="0" w:line="121" w:lineRule="exact"/>
        <w:rPr>
          <w:sz w:val="20"/>
          <w:szCs w:val="20"/>
          <w:color w:val="auto"/>
        </w:rPr>
      </w:pPr>
    </w:p>
    <w:p>
      <w:pPr>
        <w:ind w:right="80" w:firstLine="270"/>
        <w:spacing w:after="0" w:line="270" w:lineRule="auto"/>
        <w:rPr>
          <w:sz w:val="20"/>
          <w:szCs w:val="20"/>
          <w:color w:val="auto"/>
        </w:rPr>
      </w:pPr>
      <w:r>
        <w:rPr>
          <w:rFonts w:ascii="Arial" w:cs="Arial" w:eastAsia="Arial" w:hAnsi="Arial"/>
          <w:sz w:val="17"/>
          <w:szCs w:val="17"/>
          <w:color w:val="auto"/>
        </w:rPr>
        <w:t>Our website is http://investor.polo.com. Our Annual Reports on Form 10-K, Quarterly Reports on Form 10-Q and Current Reports on Form 8-K and amendments to those reports filed or furnished to the Securities and Exchange Commission (the “SEC”) pursuant to Section 13(a) or Section 15(d) of the Securities Exchange Act of 1934 are available through our website under the caption “SEC Filings”, as soon as reasonably practicable after we electronically file such materials with, or furnish such materials to, the Securities and Exchange Commission. Information relating to corporate governance at Polo, including our Corporate Governance Policies, Code of Business Conduct and Ethics for all of our directors, officers, and employees, Code of Ethics for Principal Executive Officers and Senior Financial Officers; and information concerning our Directors, Board Committees, including Committee charters, and transactions in Polo securities by Directors and executive officers, is available at our website under the captions “Corporate Governance” and “SEC Filings”. Paper copies of these filings and corporate governance documents are available to stockholders without charge by written request to Investor Relations, Polo Ralph Lauren Corporation, 650 Madison Avenue, New York, New York 10022.</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On May 23, 2005, the Company entered into a definitive agreement to acquire from Reebok International, Ltd all the issued and outstanding shares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capital stock of Ralph Lauren Footwear Co., Inc, the global licensee for men’s, women’s and children’s footwear, as well as certain foreign assets owned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affiliates of Reebok International Ltd (“the Footwear Business”). The purchase price for the acquisition of the Footwear Business will be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$110 million in cash payable at closing, subject to closing adjustments. Payment of the Purchase Price will be funded by cash on hand and lines of credit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required. In addition, the Footwear Licensee and certain of its affiliates have entered into a transition services agreement with the Company to provide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variety of operational, financial and information systems services over a period of twelve to eighteen months.</w:t>
      </w:r>
    </w:p>
    <w:p>
      <w:pPr>
        <w:spacing w:after="0" w:line="103" w:lineRule="exact"/>
        <w:rPr>
          <w:sz w:val="20"/>
          <w:szCs w:val="20"/>
          <w:color w:val="auto"/>
        </w:rPr>
      </w:pPr>
    </w:p>
    <w:p>
      <w:pPr>
        <w:ind w:right="160" w:firstLine="267"/>
        <w:spacing w:after="0" w:line="264" w:lineRule="auto"/>
        <w:rPr>
          <w:sz w:val="20"/>
          <w:szCs w:val="20"/>
          <w:color w:val="auto"/>
        </w:rPr>
      </w:pPr>
      <w:r>
        <w:rPr>
          <w:rFonts w:ascii="Arial" w:cs="Arial" w:eastAsia="Arial" w:hAnsi="Arial"/>
          <w:sz w:val="18"/>
          <w:szCs w:val="18"/>
          <w:color w:val="auto"/>
        </w:rPr>
        <w:t>The closing of the proposed transaction is subject to customary conditions, including the receipt of certain third party consents and the expiration or termination of the waiting period under the Hart-Scott-Rodino Antitrust Improvements Act of 1976. The closing of the transaction is anticipated to occur in July 2005.</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On July 2, 2004, we completed the acquisition of certain assets of RL Childrenswear Company LLC. See “Recent Acquisitions.”</w:t>
      </w:r>
    </w:p>
    <w:p>
      <w:pPr>
        <w:spacing w:after="0" w:line="117" w:lineRule="exact"/>
        <w:rPr>
          <w:sz w:val="20"/>
          <w:szCs w:val="20"/>
          <w:color w:val="auto"/>
        </w:rPr>
      </w:pPr>
    </w:p>
    <w:p>
      <w:pPr>
        <w:ind w:firstLine="260"/>
        <w:spacing w:after="0" w:line="297" w:lineRule="auto"/>
        <w:rPr>
          <w:sz w:val="20"/>
          <w:szCs w:val="20"/>
          <w:color w:val="auto"/>
        </w:rPr>
      </w:pPr>
      <w:r>
        <w:rPr>
          <w:rFonts w:ascii="Arial" w:cs="Arial" w:eastAsia="Arial" w:hAnsi="Arial"/>
          <w:sz w:val="16"/>
          <w:szCs w:val="16"/>
          <w:color w:val="auto"/>
        </w:rPr>
        <w:t>As a result of the failure of Jones Apparel Group, Inc. (including its subsidiaries, “Jones”) to meet the minimum sales volumes for the year ended December 31, 2002 under the license agreements for the sale of products under the “Ralph” trademark between us and Jones dated May 11, 1998, these license agreements terminated as of December 31, 2003. We advised Jones that the termination of these licenses would automatically result in the termination on that date of the licenses between us and Jones with respect to the “Lauren” trademark pursuant to the Cross Default and Term Extension Agreement between us and Jones dated May 11, 1998. The Lauren license agreements would otherwise have expired on December 31, 2006.</w:t>
      </w:r>
    </w:p>
    <w:p>
      <w:pPr>
        <w:spacing w:after="0" w:line="50" w:lineRule="exact"/>
        <w:rPr>
          <w:sz w:val="20"/>
          <w:szCs w:val="20"/>
          <w:color w:val="auto"/>
        </w:rPr>
      </w:pPr>
    </w:p>
    <w:p>
      <w:pPr>
        <w:ind w:right="100" w:firstLine="270"/>
        <w:spacing w:after="0" w:line="254" w:lineRule="auto"/>
        <w:rPr>
          <w:sz w:val="20"/>
          <w:szCs w:val="20"/>
          <w:color w:val="auto"/>
        </w:rPr>
      </w:pPr>
      <w:r>
        <w:rPr>
          <w:rFonts w:ascii="Arial" w:cs="Arial" w:eastAsia="Arial" w:hAnsi="Arial"/>
          <w:sz w:val="18"/>
          <w:szCs w:val="18"/>
          <w:color w:val="auto"/>
        </w:rPr>
        <w:t>On June 3, 2003, Jones filed a lawsuit against us in the Supreme Court of the State of New York alleging, among other things, that we had breached our agreements with Jones with respect to the “Lauren” trademark by asserting our rights under the Cross Default and Term Extension Agreement, and that we induced Ms. Jackwyn Nemerov, the former President of Jones, to breach the non-compete and confidentiality clauses in Ms. Nemerov’s employment agreement with Jones. Jones stated that it would treat the Lauren license agreements as terminated as of December 31, 2003, and is seeking compensatory damages of $550.0 million, punitive damages and enforcement of the provisions of Ms. Nemerov’s agreement. Also on June 3, 2003, we filed a lawsuit against Jones in the Supreme Court of the State of New York seeking, among other things, an injunction and a declaratory judgement that the Lauren license agreements would terminate as of December 31, 2003 pursuant to the terms of the Cross Default and Term Extension Agreement. The two lawsuits were consolidated.</w:t>
      </w:r>
    </w:p>
    <w:p>
      <w:pPr>
        <w:spacing w:after="0" w:line="8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On July 3, 2003, we filed a motion to dismiss Jones’ claims regarding breach of the “Lauren” agreements and a motion to stay the claims regarding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Ms. Nemerov pending the arbitration of Jones’ dispute with Ms. Nemerov. On July 23, 2003, Jones filed a motion for summary judgement in the action filed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 us, and on August 12, 2003, we filed a cross-motion for summary judgement. On March 18, 2004, the Court entered orders (i) denying our motion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dismiss Jones’ claims against us for breach of the Lauren agreements and (ii) granting Jones’ motion for summary judgement in our action for declaratory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judgement that the Lauren agreement terminated on December 31, 2003 and dismissing our complaint. The orders also stayed Jones’ claim against us relating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Ms. Nemerov pending arbitration regarding her alleged breach of her employment agreement. On August 24, 2004, the Court denied our motions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reconsider its orders, and we appealed the orders.</w:t>
      </w:r>
    </w:p>
    <w:p>
      <w:pPr>
        <w:spacing w:after="0" w:line="103" w:lineRule="exact"/>
        <w:rPr>
          <w:sz w:val="20"/>
          <w:szCs w:val="20"/>
          <w:color w:val="auto"/>
        </w:rPr>
      </w:pPr>
    </w:p>
    <w:p>
      <w:pPr>
        <w:ind w:right="80" w:firstLine="270"/>
        <w:spacing w:after="0" w:line="257" w:lineRule="auto"/>
        <w:rPr>
          <w:sz w:val="20"/>
          <w:szCs w:val="20"/>
          <w:color w:val="auto"/>
        </w:rPr>
      </w:pPr>
      <w:r>
        <w:rPr>
          <w:rFonts w:ascii="Arial" w:cs="Arial" w:eastAsia="Arial" w:hAnsi="Arial"/>
          <w:sz w:val="18"/>
          <w:szCs w:val="18"/>
          <w:color w:val="auto"/>
        </w:rPr>
        <w:t>On March 24, 2005, the Appellate Division of the Supreme Court affirmed the lower Court’s orders. On April 22, 2005, we filed a motion with the Appellate Division for reargument and/or permission to appeal its decision to the New York Court of Appeals. On June 23, 2005, the Appellate Division denied our request for reargument, but granted our motion for leave to appeal to the Court of Appeals. If the Court of Appeals does not reverse the Appellate Division’s decision, the case will go back to the lower Court for a trial on damages. Although we intend to continue to defend the case vigorously, in light of the Appellate Division’s decision we</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recorded a charge to establish a reserve of $100.0 million during Fiscal 2005. This charge represents management’s best estimate at this time of the loss incurred. No discovery has been held, and the ultimate outcome of this matter could differ materially from the reserved amount.</w:t>
      </w:r>
    </w:p>
    <w:p>
      <w:pPr>
        <w:spacing w:after="0" w:line="38" w:lineRule="exact"/>
        <w:rPr>
          <w:sz w:val="20"/>
          <w:szCs w:val="20"/>
          <w:color w:val="auto"/>
        </w:rPr>
      </w:pPr>
    </w:p>
    <w:p>
      <w:pPr>
        <w:ind w:right="20" w:firstLine="260"/>
        <w:spacing w:after="0" w:line="255" w:lineRule="auto"/>
        <w:rPr>
          <w:sz w:val="20"/>
          <w:szCs w:val="20"/>
          <w:color w:val="auto"/>
        </w:rPr>
      </w:pPr>
      <w:r>
        <w:rPr>
          <w:rFonts w:ascii="Arial" w:cs="Arial" w:eastAsia="Arial" w:hAnsi="Arial"/>
          <w:sz w:val="18"/>
          <w:szCs w:val="18"/>
          <w:color w:val="auto"/>
        </w:rPr>
        <w:t>As described in more detail in Note 21 to the Financial Statements (which is incorporated herein by reference), we are subject to various claims relating to an alleged security breach of our retail point of sale system, including fraudulent credit card charges, the cost of replacing cards and related monitoring expenses and other related claims. The Company is unable to predict at this time whether further claims will be asserted. The Company has contested and will continue to vigorously contest the claims made against it and continues to explore its defenses and possible claims against others. The Company recorded a charge to establish a reserve of $6.2 million relating to this matter in the fourth quarter of Fiscal 2005. The ultimate outcome of this matter could differ from the amount reserved. While that difference could be material to the results of operations for any affected reporting period, it is not expected to have a material impact on consolidated financial position or liquidity.</w:t>
      </w:r>
    </w:p>
    <w:p>
      <w:pPr>
        <w:spacing w:after="0" w:line="81" w:lineRule="exact"/>
        <w:rPr>
          <w:sz w:val="20"/>
          <w:szCs w:val="20"/>
          <w:color w:val="auto"/>
        </w:rPr>
      </w:pPr>
    </w:p>
    <w:p>
      <w:pPr>
        <w:ind w:right="40" w:firstLine="270"/>
        <w:spacing w:after="0" w:line="291" w:lineRule="auto"/>
        <w:rPr>
          <w:sz w:val="20"/>
          <w:szCs w:val="20"/>
          <w:color w:val="auto"/>
        </w:rPr>
      </w:pPr>
      <w:r>
        <w:rPr>
          <w:rFonts w:ascii="Arial" w:cs="Arial" w:eastAsia="Arial" w:hAnsi="Arial"/>
          <w:sz w:val="16"/>
          <w:szCs w:val="16"/>
          <w:color w:val="auto"/>
        </w:rPr>
        <w:t>In June 2003, one of our licensing partners, WestPoint Stevens, Inc., and certain of its affiliates (“WestPoint”) filed a voluntary petition for bankruptcy protection under Chapter 11 of the United States Bankruptcy Code. WestPoint produces bedding and bath product in our home collection, and royalties paid by WestPoint accounted for 14.2% of our licensing revenues in Fiscal 2005. On December 19, 2003, the United States Bankruptcy Court approved an amended licensing agreement between WestPoint and us which provides for the same royalty rate and minimums that are not materially less than the previous agreement. On June 24, 2005, American Real Estate Properties, LP, an entity controlled by investor Carl Icahn, won the U.S. Bankruptcy Court approved bidding process for WestPoint’s assets, subject to final confirmation at a hearing to be held August 17, 2005. The Company believes that the new owners will continue the relationship on satisfactory terms. The contract with WestPoint Stevens expires in December of 2005.</w:t>
      </w:r>
    </w:p>
    <w:p>
      <w:pPr>
        <w:spacing w:after="0" w:line="59" w:lineRule="exact"/>
        <w:rPr>
          <w:sz w:val="20"/>
          <w:szCs w:val="20"/>
          <w:color w:val="auto"/>
        </w:rPr>
      </w:pPr>
    </w:p>
    <w:p>
      <w:pPr>
        <w:ind w:right="740" w:firstLine="270"/>
        <w:spacing w:after="0" w:line="308" w:lineRule="auto"/>
        <w:rPr>
          <w:sz w:val="20"/>
          <w:szCs w:val="20"/>
          <w:color w:val="auto"/>
        </w:rPr>
      </w:pPr>
      <w:r>
        <w:rPr>
          <w:rFonts w:ascii="Arial" w:cs="Arial" w:eastAsia="Arial" w:hAnsi="Arial"/>
          <w:sz w:val="17"/>
          <w:szCs w:val="17"/>
          <w:color w:val="auto"/>
        </w:rPr>
        <w:t>In October 2004, we expanded and extended our revolving credit facility. See Item 7 “MANAGEMENT’S DISCUSSION AND ANALYSIS OF FINANCIAL CONDITION AND RESULTS OF OPERATIONS — Liquidity and Capital Resources” for further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On July 2, 2004, we completed the acquisition of certain assets of RL Childrenswear Company, LLC for a purchase price of approximately</w:t>
      </w:r>
    </w:p>
    <w:p>
      <w:pPr>
        <w:spacing w:after="0" w:line="23"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$263.5 million, including transaction costs. The purchase price includes deferred payments of $15 million over the next three years, and we have agreed to assume certain liabilities. Additionally, we have agreed to pay up to an additional $5 million in contingent payments if certain sales targets are attained. During the third quarter of Fiscal 2005, we recorded a $5 million liability representing the contingent purchase payment because we believe it is probable the sales targets will be achieved. This amount was recorded as an increase in goodwill. RL Childrenswear Company LLC was a Polo Ralph Lauren licensee holding the exclusive licenses to design, manufacture, merchandise and sell newborn, infant, toddler and girls and boys clothing in the United States, Canada and Mexico. In connection with this acquisition, we recorded fair values of assets as follows: inventory of $26.6 million, property and equipment of</w:t>
      </w:r>
    </w:p>
    <w:p>
      <w:pPr>
        <w:spacing w:after="0" w:line="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$7.5 million, intangible assets consisting of non-compete agreements valued at $2.5 million and customer relationships valued at $29.9 million, other assets of $1.0 million, goodwill of $208.3 million and liabilities of $12.3 million.</w:t>
      </w:r>
    </w:p>
    <w:p>
      <w:pPr>
        <w:spacing w:after="0" w:line="76" w:lineRule="exact"/>
        <w:rPr>
          <w:sz w:val="20"/>
          <w:szCs w:val="20"/>
          <w:color w:val="auto"/>
        </w:rPr>
      </w:pPr>
    </w:p>
    <w:p>
      <w:pPr>
        <w:ind w:right="200" w:firstLine="267"/>
        <w:spacing w:after="0" w:line="277" w:lineRule="auto"/>
        <w:rPr>
          <w:sz w:val="20"/>
          <w:szCs w:val="20"/>
          <w:color w:val="auto"/>
        </w:rPr>
      </w:pPr>
      <w:r>
        <w:rPr>
          <w:rFonts w:ascii="Arial" w:cs="Arial" w:eastAsia="Arial" w:hAnsi="Arial"/>
          <w:sz w:val="18"/>
          <w:szCs w:val="18"/>
          <w:color w:val="auto"/>
        </w:rPr>
        <w:t>The results of operations for the Childrenswear line from July 2, 2004 are included in our the consolidated results of operations for the fiscal year ended April 2, 2005.</w:t>
      </w:r>
    </w:p>
    <w:p>
      <w:pPr>
        <w:spacing w:after="0" w:line="62" w:lineRule="exact"/>
        <w:rPr>
          <w:sz w:val="20"/>
          <w:szCs w:val="20"/>
          <w:color w:val="auto"/>
        </w:rPr>
      </w:pPr>
    </w:p>
    <w:p>
      <w:pPr>
        <w:ind w:right="180" w:firstLine="267"/>
        <w:spacing w:after="0" w:line="279" w:lineRule="auto"/>
        <w:rPr>
          <w:sz w:val="20"/>
          <w:szCs w:val="20"/>
          <w:color w:val="auto"/>
        </w:rPr>
      </w:pPr>
      <w:r>
        <w:rPr>
          <w:rFonts w:ascii="Arial" w:cs="Arial" w:eastAsia="Arial" w:hAnsi="Arial"/>
          <w:sz w:val="17"/>
          <w:szCs w:val="17"/>
          <w:color w:val="auto"/>
        </w:rPr>
        <w:t>The following unaudited pro forma information assumes the Childrenswear acquisition had occurred on March 30, 2003. The pro forma information, as presented below, is not indicative of the results that would have been obtained had the transaction occurred March 30, 2003, nor is it indicative of our future results. The unaudited pro forma information is presented based on the preliminary purchase price allocation. The final purchase price allocation and the resulting effect on net income may differ significantly from the unaudited pro forma amounts included herein.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67"/>
        <w:spacing w:after="0" w:line="273" w:lineRule="auto"/>
        <w:rPr>
          <w:sz w:val="20"/>
          <w:szCs w:val="20"/>
          <w:color w:val="auto"/>
        </w:rPr>
      </w:pPr>
      <w:r>
        <w:rPr>
          <w:rFonts w:ascii="Arial" w:cs="Arial" w:eastAsia="Arial" w:hAnsi="Arial"/>
          <w:sz w:val="17"/>
          <w:szCs w:val="17"/>
          <w:color w:val="auto"/>
        </w:rPr>
        <w:t>The pro forma amounts reflect adjustments for purchases made by us from Childrenswear, licensing royalties paid to us by Childrenswear, amortization of the non-compete agreements, lost interest income on the cash used for the purchase and the income tax effect based upon unaudited pro forma effective tax rate of 35.5% in Fiscal 2005 and Fiscal 2004. The unaudited pro forma information gives effect only to adjustments described above and does not reflect management’s estimate of any anticipated cost savings or other benefits as a result of the acquisition. The unaudited pro forma amounts include material non recurring charges recorded within cost of goods sold of approximately $7.4 million related to the write up to fair value of inventory as part of the preliminary purchase price allocation (dollars in thousands, except per share amounts).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For the Year Ended</w:t>
            </w:r>
          </w:p>
        </w:tc>
        <w:tc>
          <w:tcPr>
            <w:tcW w:w="112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r>
      <w:tr>
        <w:trPr>
          <w:trHeight w:val="133"/>
        </w:trPr>
        <w:tc>
          <w:tcPr>
            <w:tcW w:w="47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gridSpan w:val="2"/>
          </w:tcPr>
          <w:p>
            <w:pPr>
              <w:jc w:val="center"/>
              <w:ind w:right="660"/>
              <w:spacing w:after="0" w:line="133" w:lineRule="exact"/>
              <w:rPr>
                <w:sz w:val="20"/>
                <w:szCs w:val="20"/>
                <w:color w:val="auto"/>
              </w:rPr>
            </w:pPr>
            <w:r>
              <w:rPr>
                <w:rFonts w:ascii="Arial" w:cs="Arial" w:eastAsia="Arial" w:hAnsi="Arial"/>
                <w:sz w:val="14"/>
                <w:szCs w:val="14"/>
                <w:b w:val="1"/>
                <w:bCs w:val="1"/>
                <w:color w:val="auto"/>
                <w:w w:val="96"/>
              </w:rPr>
              <w:t>April 2,</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58"/>
              <w:spacing w:after="0" w:line="133" w:lineRule="exact"/>
              <w:rPr>
                <w:sz w:val="20"/>
                <w:szCs w:val="20"/>
                <w:color w:val="auto"/>
              </w:rPr>
            </w:pPr>
            <w:r>
              <w:rPr>
                <w:rFonts w:ascii="Arial" w:cs="Arial" w:eastAsia="Arial" w:hAnsi="Arial"/>
                <w:sz w:val="14"/>
                <w:szCs w:val="14"/>
                <w:b w:val="1"/>
                <w:bCs w:val="1"/>
                <w:color w:val="auto"/>
              </w:rPr>
              <w:t>April 3,</w:t>
            </w:r>
          </w:p>
        </w:tc>
        <w:tc>
          <w:tcPr>
            <w:tcW w:w="600" w:type="dxa"/>
            <w:vAlign w:val="bottom"/>
          </w:tcPr>
          <w:p>
            <w:pPr>
              <w:spacing w:after="0"/>
              <w:rPr>
                <w:sz w:val="11"/>
                <w:szCs w:val="11"/>
                <w:color w:val="auto"/>
              </w:rPr>
            </w:pPr>
          </w:p>
        </w:tc>
      </w:tr>
      <w:tr>
        <w:trPr>
          <w:trHeight w:val="171"/>
        </w:trPr>
        <w:tc>
          <w:tcPr>
            <w:tcW w:w="4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6"/>
              </w:rPr>
              <w:t>2005</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2004</w:t>
            </w:r>
          </w:p>
        </w:tc>
        <w:tc>
          <w:tcPr>
            <w:tcW w:w="600" w:type="dxa"/>
            <w:vAlign w:val="bottom"/>
          </w:tcPr>
          <w:p>
            <w:pPr>
              <w:spacing w:after="0"/>
              <w:rPr>
                <w:sz w:val="14"/>
                <w:szCs w:val="14"/>
                <w:color w:val="auto"/>
              </w:rPr>
            </w:pPr>
          </w:p>
        </w:tc>
      </w:tr>
      <w:tr>
        <w:trPr>
          <w:trHeight w:val="156"/>
        </w:trPr>
        <w:tc>
          <w:tcPr>
            <w:tcW w:w="47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119"/>
              <w:spacing w:after="0" w:line="155" w:lineRule="exact"/>
              <w:rPr>
                <w:sz w:val="20"/>
                <w:szCs w:val="20"/>
                <w:color w:val="auto"/>
              </w:rPr>
            </w:pPr>
            <w:r>
              <w:rPr>
                <w:rFonts w:ascii="Arial" w:cs="Arial" w:eastAsia="Arial" w:hAnsi="Arial"/>
                <w:sz w:val="14"/>
                <w:szCs w:val="14"/>
                <w:b w:val="1"/>
                <w:bCs w:val="1"/>
                <w:color w:val="auto"/>
                <w:w w:val="95"/>
              </w:rPr>
              <w:t>(Unaudited)</w:t>
            </w: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ind w:right="138"/>
              <w:spacing w:after="0" w:line="155" w:lineRule="exact"/>
              <w:rPr>
                <w:sz w:val="20"/>
                <w:szCs w:val="20"/>
                <w:color w:val="auto"/>
              </w:rPr>
            </w:pPr>
            <w:r>
              <w:rPr>
                <w:rFonts w:ascii="Arial" w:cs="Arial" w:eastAsia="Arial" w:hAnsi="Arial"/>
                <w:sz w:val="14"/>
                <w:szCs w:val="14"/>
                <w:b w:val="1"/>
                <w:bCs w:val="1"/>
                <w:color w:val="auto"/>
                <w:w w:val="95"/>
              </w:rPr>
              <w:t>(Unaudited)</w:t>
            </w:r>
          </w:p>
        </w:tc>
        <w:tc>
          <w:tcPr>
            <w:tcW w:w="600" w:type="dxa"/>
            <w:vAlign w:val="bottom"/>
          </w:tcPr>
          <w:p>
            <w:pPr>
              <w:spacing w:after="0"/>
              <w:rPr>
                <w:sz w:val="13"/>
                <w:szCs w:val="13"/>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3,359,168</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2,858,458</w:t>
            </w:r>
          </w:p>
        </w:tc>
        <w:tc>
          <w:tcPr>
            <w:tcW w:w="6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Net income</w:t>
            </w: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8"/>
                <w:szCs w:val="18"/>
                <w:color w:val="auto"/>
              </w:rPr>
              <w:t>195,338</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186,164</w:t>
            </w:r>
          </w:p>
        </w:tc>
        <w:tc>
          <w:tcPr>
            <w:tcW w:w="6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2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1.92</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1.88</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2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60"/>
              <w:spacing w:after="0"/>
              <w:rPr>
                <w:sz w:val="20"/>
                <w:szCs w:val="20"/>
                <w:color w:val="auto"/>
              </w:rPr>
            </w:pPr>
            <w:r>
              <w:rPr>
                <w:rFonts w:ascii="Arial" w:cs="Arial" w:eastAsia="Arial" w:hAnsi="Arial"/>
                <w:sz w:val="18"/>
                <w:szCs w:val="18"/>
                <w:color w:val="auto"/>
              </w:rPr>
              <w:t>1.88</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1.84</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21" w:lineRule="exact"/>
        <w:rPr>
          <w:sz w:val="20"/>
          <w:szCs w:val="20"/>
          <w:color w:val="auto"/>
        </w:rPr>
      </w:pPr>
    </w:p>
    <w:p>
      <w:pPr>
        <w:jc w:val="both"/>
        <w:ind w:right="120" w:firstLine="267"/>
        <w:spacing w:after="0" w:line="264" w:lineRule="auto"/>
        <w:rPr>
          <w:sz w:val="20"/>
          <w:szCs w:val="20"/>
          <w:color w:val="auto"/>
        </w:rPr>
      </w:pPr>
      <w:r>
        <w:rPr>
          <w:rFonts w:ascii="Arial" w:cs="Arial" w:eastAsia="Arial" w:hAnsi="Arial"/>
          <w:sz w:val="18"/>
          <w:szCs w:val="18"/>
          <w:color w:val="auto"/>
        </w:rPr>
        <w:t>We operate in three integrated business segments: wholesale, retail and licensing. Details of our net revenues by business segment and geographic region are shown in the tables below. Note 19 to our Consolidated Financial Statements included in this Annual Report on Form 10-K contains additional segment and geographic area information.</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center"/>
              <w:ind w:right="760"/>
              <w:spacing w:after="0"/>
              <w:rPr>
                <w:sz w:val="20"/>
                <w:szCs w:val="20"/>
                <w:color w:val="auto"/>
              </w:rPr>
            </w:pPr>
            <w:r>
              <w:rPr>
                <w:rFonts w:ascii="Arial" w:cs="Arial" w:eastAsia="Arial" w:hAnsi="Arial"/>
                <w:sz w:val="14"/>
                <w:szCs w:val="14"/>
                <w:b w:val="1"/>
                <w:bCs w:val="1"/>
                <w:color w:val="auto"/>
                <w:w w:val="92"/>
              </w:rPr>
              <w:t>Fiscal Year Ended</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Revenues by Segment</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gridSpan w:val="4"/>
          </w:tcPr>
          <w:p>
            <w:pPr>
              <w:ind w:left="100"/>
              <w:spacing w:after="0" w:line="133" w:lineRule="exact"/>
              <w:rPr>
                <w:sz w:val="20"/>
                <w:szCs w:val="20"/>
                <w:color w:val="auto"/>
              </w:rPr>
            </w:pPr>
            <w:r>
              <w:rPr>
                <w:rFonts w:ascii="Arial" w:cs="Arial" w:eastAsia="Arial" w:hAnsi="Arial"/>
                <w:sz w:val="14"/>
                <w:szCs w:val="14"/>
                <w:b w:val="1"/>
                <w:bCs w:val="1"/>
                <w:color w:val="auto"/>
              </w:rPr>
              <w:t>April 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20" w:type="dxa"/>
            <w:vAlign w:val="bottom"/>
            <w:gridSpan w:val="3"/>
          </w:tcPr>
          <w:p>
            <w:pPr>
              <w:jc w:val="center"/>
              <w:ind w:right="880"/>
              <w:spacing w:after="0" w:line="133" w:lineRule="exact"/>
              <w:rPr>
                <w:sz w:val="20"/>
                <w:szCs w:val="20"/>
                <w:color w:val="auto"/>
              </w:rPr>
            </w:pPr>
            <w:r>
              <w:rPr>
                <w:rFonts w:ascii="Arial" w:cs="Arial" w:eastAsia="Arial" w:hAnsi="Arial"/>
                <w:sz w:val="14"/>
                <w:szCs w:val="14"/>
                <w:b w:val="1"/>
                <w:bCs w:val="1"/>
                <w:color w:val="auto"/>
              </w:rPr>
              <w:t>April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96"/>
              <w:spacing w:after="0" w:line="133" w:lineRule="exact"/>
              <w:rPr>
                <w:sz w:val="20"/>
                <w:szCs w:val="20"/>
                <w:color w:val="auto"/>
              </w:rPr>
            </w:pPr>
            <w:r>
              <w:rPr>
                <w:rFonts w:ascii="Arial" w:cs="Arial" w:eastAsia="Arial" w:hAnsi="Arial"/>
                <w:sz w:val="14"/>
                <w:szCs w:val="14"/>
                <w:b w:val="1"/>
                <w:bCs w:val="1"/>
                <w:color w:val="auto"/>
                <w:w w:val="95"/>
              </w:rPr>
              <w:t>March 29,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5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376"/>
              <w:spacing w:after="0"/>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2004</w:t>
            </w: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96"/>
              <w:spacing w:after="0"/>
              <w:rPr>
                <w:sz w:val="20"/>
                <w:szCs w:val="20"/>
                <w:color w:val="auto"/>
              </w:rPr>
            </w:pPr>
            <w:r>
              <w:rPr>
                <w:rFonts w:ascii="Arial" w:cs="Arial" w:eastAsia="Arial" w:hAnsi="Arial"/>
                <w:sz w:val="14"/>
                <w:szCs w:val="14"/>
                <w:b w:val="1"/>
                <w:bCs w:val="1"/>
                <w:color w:val="auto"/>
                <w:w w:val="96"/>
              </w:rPr>
              <w:t>2003</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8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85"/>
              </w:rPr>
              <w:t>(Dollars in thousands)</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Wholesale sales</w:t>
            </w:r>
          </w:p>
        </w:tc>
        <w:tc>
          <w:tcPr>
            <w:tcW w:w="540" w:type="dxa"/>
            <w:vAlign w:val="bottom"/>
            <w:gridSpan w:val="5"/>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1,712,040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1,210,397</w:t>
            </w: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1,187,363</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Retail sales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1,348,645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1,170,447</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1,001,958</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3,060,685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2,380,844</w:t>
            </w: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2,189,321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Licensing revenue</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244,730</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268,810</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250,019</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80" w:type="dxa"/>
            <w:vAlign w:val="bottom"/>
            <w:gridSpan w:val="2"/>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3"/>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3,305,415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2,649,654</w:t>
            </w: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2,439,340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Fiscal Year Ended</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Revenues by Geographic Area</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gridSpan w:val="4"/>
          </w:tcPr>
          <w:p>
            <w:pPr>
              <w:ind w:left="140"/>
              <w:spacing w:after="0" w:line="133" w:lineRule="exact"/>
              <w:rPr>
                <w:sz w:val="20"/>
                <w:szCs w:val="20"/>
                <w:color w:val="auto"/>
              </w:rPr>
            </w:pPr>
            <w:r>
              <w:rPr>
                <w:rFonts w:ascii="Arial" w:cs="Arial" w:eastAsia="Arial" w:hAnsi="Arial"/>
                <w:sz w:val="14"/>
                <w:szCs w:val="14"/>
                <w:b w:val="1"/>
                <w:bCs w:val="1"/>
                <w:color w:val="auto"/>
              </w:rPr>
              <w:t>April 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20" w:type="dxa"/>
            <w:vAlign w:val="bottom"/>
            <w:gridSpan w:val="3"/>
          </w:tcPr>
          <w:p>
            <w:pPr>
              <w:jc w:val="center"/>
              <w:ind w:right="800"/>
              <w:spacing w:after="0" w:line="133" w:lineRule="exact"/>
              <w:rPr>
                <w:sz w:val="20"/>
                <w:szCs w:val="20"/>
                <w:color w:val="auto"/>
              </w:rPr>
            </w:pPr>
            <w:r>
              <w:rPr>
                <w:rFonts w:ascii="Arial" w:cs="Arial" w:eastAsia="Arial" w:hAnsi="Arial"/>
                <w:sz w:val="14"/>
                <w:szCs w:val="14"/>
                <w:b w:val="1"/>
                <w:bCs w:val="1"/>
                <w:color w:val="auto"/>
              </w:rPr>
              <w:t>April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99"/>
              </w:rPr>
              <w:t>March 29,</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5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336"/>
              <w:spacing w:after="0"/>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2003</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86"/>
              </w:rPr>
              <w:t>(Dollars in thousands)</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United States and Canada</w:t>
            </w:r>
          </w:p>
        </w:tc>
        <w:tc>
          <w:tcPr>
            <w:tcW w:w="540" w:type="dxa"/>
            <w:vAlign w:val="bottom"/>
            <w:gridSpan w:val="5"/>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2,587,233</w:t>
            </w:r>
          </w:p>
        </w:tc>
        <w:tc>
          <w:tcPr>
            <w:tcW w:w="6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2,073,401</w:t>
            </w:r>
          </w:p>
        </w:tc>
        <w:tc>
          <w:tcPr>
            <w:tcW w:w="7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1,916,096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Europe</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579,161</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464,098</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458,627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regions</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139,021</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112,155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64,617</w:t>
            </w: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320" w:type="dxa"/>
            <w:vAlign w:val="bottom"/>
            <w:gridSpan w:val="3"/>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3,305,415</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2,649,654</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2,439,340</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Wholesale Segment</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Our wholesale segment markets and distributes products under the following brands:</w:t>
      </w:r>
    </w:p>
    <w:p>
      <w:pPr>
        <w:spacing w:after="0" w:line="117" w:lineRule="exact"/>
        <w:rPr>
          <w:sz w:val="20"/>
          <w:szCs w:val="20"/>
          <w:color w:val="auto"/>
        </w:rPr>
      </w:pPr>
    </w:p>
    <w:p>
      <w:pPr>
        <w:ind w:right="60" w:firstLine="270"/>
        <w:spacing w:after="0" w:line="286" w:lineRule="auto"/>
        <w:rPr>
          <w:sz w:val="20"/>
          <w:szCs w:val="20"/>
          <w:color w:val="auto"/>
        </w:rPr>
      </w:pPr>
      <w:r>
        <w:rPr>
          <w:rFonts w:ascii="Arial" w:cs="Arial" w:eastAsia="Arial" w:hAnsi="Arial"/>
          <w:sz w:val="17"/>
          <w:szCs w:val="17"/>
          <w:i w:val="1"/>
          <w:iCs w:val="1"/>
          <w:color w:val="auto"/>
        </w:rPr>
        <w:t xml:space="preserve">Polo by Ralph Lauren. </w:t>
      </w:r>
      <w:r>
        <w:rPr>
          <w:rFonts w:ascii="Arial" w:cs="Arial" w:eastAsia="Arial" w:hAnsi="Arial"/>
          <w:sz w:val="17"/>
          <w:szCs w:val="17"/>
          <w:color w:val="auto"/>
        </w:rPr>
        <w:t>Our Polo by Ralph Lauren menswear collection is a complete men’s wardrobe consisting of products related by theme, style, color</w:t>
      </w:r>
      <w:r>
        <w:rPr>
          <w:rFonts w:ascii="Arial" w:cs="Arial" w:eastAsia="Arial" w:hAnsi="Arial"/>
          <w:sz w:val="17"/>
          <w:szCs w:val="17"/>
          <w:i w:val="1"/>
          <w:iCs w:val="1"/>
          <w:color w:val="auto"/>
        </w:rPr>
        <w:t xml:space="preserve"> </w:t>
      </w:r>
      <w:r>
        <w:rPr>
          <w:rFonts w:ascii="Arial" w:cs="Arial" w:eastAsia="Arial" w:hAnsi="Arial"/>
          <w:sz w:val="17"/>
          <w:szCs w:val="17"/>
          <w:color w:val="auto"/>
        </w:rPr>
        <w:t>and fabric. Polo by Ralph Lauren menswear is generally priced at a range of price points within the men’s premium ready-to-wear apparel market. We currently sell this collection through department stores, specialty stores and our Ralph Lauren and outlet stores in the United States and abroad.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i w:val="1"/>
          <w:iCs w:val="1"/>
          <w:color w:val="auto"/>
        </w:rPr>
        <w:t xml:space="preserve">Blue Label. </w:t>
      </w:r>
      <w:r>
        <w:rPr>
          <w:rFonts w:ascii="Arial" w:cs="Arial" w:eastAsia="Arial" w:hAnsi="Arial"/>
          <w:sz w:val="18"/>
          <w:szCs w:val="18"/>
          <w:color w:val="auto"/>
        </w:rPr>
        <w:t>Our Blue Label collection of womenswear reflects a modern interpretation of classic Ralph Lauren styles with a strong weekend focus. Blue</w:t>
      </w:r>
      <w:r>
        <w:rPr>
          <w:rFonts w:ascii="Arial" w:cs="Arial" w:eastAsia="Arial" w:hAnsi="Arial"/>
          <w:sz w:val="18"/>
          <w:szCs w:val="18"/>
          <w:i w:val="1"/>
          <w:iCs w:val="1"/>
          <w:color w:val="auto"/>
        </w:rPr>
        <w:t xml:space="preserve"> </w:t>
      </w:r>
      <w:r>
        <w:rPr>
          <w:rFonts w:ascii="Arial" w:cs="Arial" w:eastAsia="Arial" w:hAnsi="Arial"/>
          <w:sz w:val="18"/>
          <w:szCs w:val="18"/>
          <w:color w:val="auto"/>
        </w:rPr>
        <w:t>Label collection is generally priced at a range of price points within the premium ready-to-wear apparel market. We currently sell the Blue Label collection domestically and internationally through Ralph Lauren stores and selected wholesale accounts in Europe and Asia. In Japan, our Blue Label line is sold under the Ralph Lauren brand name.</w:t>
      </w:r>
    </w:p>
    <w:p>
      <w:pPr>
        <w:spacing w:after="0" w:line="79" w:lineRule="exact"/>
        <w:rPr>
          <w:sz w:val="20"/>
          <w:szCs w:val="20"/>
          <w:color w:val="auto"/>
        </w:rPr>
      </w:pPr>
    </w:p>
    <w:p>
      <w:pPr>
        <w:jc w:val="both"/>
        <w:ind w:right="60" w:firstLine="270"/>
        <w:spacing w:after="0" w:line="264" w:lineRule="auto"/>
        <w:rPr>
          <w:sz w:val="20"/>
          <w:szCs w:val="20"/>
          <w:color w:val="auto"/>
        </w:rPr>
      </w:pPr>
      <w:r>
        <w:rPr>
          <w:rFonts w:ascii="Arial" w:cs="Arial" w:eastAsia="Arial" w:hAnsi="Arial"/>
          <w:sz w:val="18"/>
          <w:szCs w:val="18"/>
          <w:i w:val="1"/>
          <w:iCs w:val="1"/>
          <w:color w:val="auto"/>
        </w:rPr>
        <w:t xml:space="preserve">Polo Golf. </w:t>
      </w:r>
      <w:r>
        <w:rPr>
          <w:rFonts w:ascii="Arial" w:cs="Arial" w:eastAsia="Arial" w:hAnsi="Arial"/>
          <w:sz w:val="18"/>
          <w:szCs w:val="18"/>
          <w:color w:val="auto"/>
        </w:rPr>
        <w:t>Our Polo Golf collection of men’s and women’s apparel is targeted at the golf and resort markets. Price points are similar to those charged for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in the Polo by Ralph Lauren line. We sell the Polo Golf collection in the United States and Canada through leading golf clubs, pro shops and resorts, in addition to department stores, specialty stores and Ralph Lauren stores.</w:t>
      </w:r>
    </w:p>
    <w:p>
      <w:pPr>
        <w:spacing w:after="0" w:line="73" w:lineRule="exact"/>
        <w:rPr>
          <w:sz w:val="20"/>
          <w:szCs w:val="20"/>
          <w:color w:val="auto"/>
        </w:rPr>
      </w:pPr>
    </w:p>
    <w:p>
      <w:pPr>
        <w:ind w:right="220" w:firstLine="270"/>
        <w:spacing w:after="0" w:line="277" w:lineRule="auto"/>
        <w:rPr>
          <w:sz w:val="20"/>
          <w:szCs w:val="20"/>
          <w:color w:val="auto"/>
        </w:rPr>
      </w:pPr>
      <w:r>
        <w:rPr>
          <w:rFonts w:ascii="Arial" w:cs="Arial" w:eastAsia="Arial" w:hAnsi="Arial"/>
          <w:sz w:val="18"/>
          <w:szCs w:val="18"/>
          <w:i w:val="1"/>
          <w:iCs w:val="1"/>
          <w:color w:val="auto"/>
        </w:rPr>
        <w:t xml:space="preserve">RLX. </w:t>
      </w:r>
      <w:r>
        <w:rPr>
          <w:rFonts w:ascii="Arial" w:cs="Arial" w:eastAsia="Arial" w:hAnsi="Arial"/>
          <w:sz w:val="18"/>
          <w:szCs w:val="18"/>
          <w:color w:val="auto"/>
        </w:rPr>
        <w:t>Our RLX Polo Sport collection of menswear and womenswear consists of functional sport and outdoor apparel for running, cross-training, skiing,</w:t>
      </w:r>
      <w:r>
        <w:rPr>
          <w:rFonts w:ascii="Arial" w:cs="Arial" w:eastAsia="Arial" w:hAnsi="Arial"/>
          <w:sz w:val="18"/>
          <w:szCs w:val="18"/>
          <w:i w:val="1"/>
          <w:iCs w:val="1"/>
          <w:color w:val="auto"/>
        </w:rPr>
        <w:t xml:space="preserve"> </w:t>
      </w:r>
      <w:r>
        <w:rPr>
          <w:rFonts w:ascii="Arial" w:cs="Arial" w:eastAsia="Arial" w:hAnsi="Arial"/>
          <w:sz w:val="18"/>
          <w:szCs w:val="18"/>
          <w:color w:val="auto"/>
        </w:rPr>
        <w:t>snowboarding and cycling. We sell RLX Polo Sport in our Ralph Lauren stores.</w:t>
      </w:r>
    </w:p>
    <w:p>
      <w:pPr>
        <w:spacing w:after="0" w:line="62" w:lineRule="exact"/>
        <w:rPr>
          <w:sz w:val="20"/>
          <w:szCs w:val="20"/>
          <w:color w:val="auto"/>
        </w:rPr>
      </w:pPr>
    </w:p>
    <w:p>
      <w:pPr>
        <w:ind w:right="60" w:firstLine="270"/>
        <w:spacing w:after="0" w:line="264" w:lineRule="auto"/>
        <w:rPr>
          <w:sz w:val="20"/>
          <w:szCs w:val="20"/>
          <w:color w:val="auto"/>
        </w:rPr>
      </w:pPr>
      <w:r>
        <w:rPr>
          <w:rFonts w:ascii="Arial" w:cs="Arial" w:eastAsia="Arial" w:hAnsi="Arial"/>
          <w:sz w:val="18"/>
          <w:szCs w:val="18"/>
          <w:i w:val="1"/>
          <w:iCs w:val="1"/>
          <w:color w:val="auto"/>
        </w:rPr>
        <w:t xml:space="preserve">Ralph Lauren Childrenswear. </w:t>
      </w:r>
      <w:r>
        <w:rPr>
          <w:rFonts w:ascii="Arial" w:cs="Arial" w:eastAsia="Arial" w:hAnsi="Arial"/>
          <w:sz w:val="18"/>
          <w:szCs w:val="18"/>
          <w:color w:val="auto"/>
        </w:rPr>
        <w:t>Since 1995, Ralph Lauren has offered our customers the opportunity to extend the Ralph Lauren lifestyle to their children.</w:t>
      </w:r>
      <w:r>
        <w:rPr>
          <w:rFonts w:ascii="Arial" w:cs="Arial" w:eastAsia="Arial" w:hAnsi="Arial"/>
          <w:sz w:val="18"/>
          <w:szCs w:val="18"/>
          <w:i w:val="1"/>
          <w:iCs w:val="1"/>
          <w:color w:val="auto"/>
        </w:rPr>
        <w:t xml:space="preserve"> </w:t>
      </w:r>
      <w:r>
        <w:rPr>
          <w:rFonts w:ascii="Arial" w:cs="Arial" w:eastAsia="Arial" w:hAnsi="Arial"/>
          <w:sz w:val="18"/>
          <w:szCs w:val="18"/>
          <w:color w:val="auto"/>
        </w:rPr>
        <w:t>We currently offer a very comprehensive collection of apparel and accessories that are sold to better specialty and department stores. The line is comprised of both Boys and Girls and ranges from newborn up to size 16 in Girls, size 20 in Boys.</w:t>
      </w:r>
    </w:p>
    <w:p>
      <w:pPr>
        <w:spacing w:after="0" w:line="73" w:lineRule="exact"/>
        <w:rPr>
          <w:sz w:val="20"/>
          <w:szCs w:val="20"/>
          <w:color w:val="auto"/>
        </w:rPr>
      </w:pPr>
    </w:p>
    <w:p>
      <w:pPr>
        <w:ind w:right="160" w:firstLine="270"/>
        <w:spacing w:after="0" w:line="264" w:lineRule="auto"/>
        <w:rPr>
          <w:sz w:val="20"/>
          <w:szCs w:val="20"/>
          <w:color w:val="auto"/>
        </w:rPr>
      </w:pPr>
      <w:r>
        <w:rPr>
          <w:rFonts w:ascii="Arial" w:cs="Arial" w:eastAsia="Arial" w:hAnsi="Arial"/>
          <w:sz w:val="18"/>
          <w:szCs w:val="18"/>
          <w:i w:val="1"/>
          <w:iCs w:val="1"/>
          <w:color w:val="auto"/>
        </w:rPr>
        <w:t xml:space="preserve">Lauren Ralph Lauren. </w:t>
      </w:r>
      <w:r>
        <w:rPr>
          <w:rFonts w:ascii="Arial" w:cs="Arial" w:eastAsia="Arial" w:hAnsi="Arial"/>
          <w:sz w:val="18"/>
          <w:szCs w:val="18"/>
          <w:color w:val="auto"/>
        </w:rPr>
        <w:t>Our Lauren by Ralph Lauren women’s collection is a complete women’s lifestyle brand consisting of products related by theme,</w:t>
      </w:r>
      <w:r>
        <w:rPr>
          <w:rFonts w:ascii="Arial" w:cs="Arial" w:eastAsia="Arial" w:hAnsi="Arial"/>
          <w:sz w:val="18"/>
          <w:szCs w:val="18"/>
          <w:i w:val="1"/>
          <w:iCs w:val="1"/>
          <w:color w:val="auto"/>
        </w:rPr>
        <w:t xml:space="preserve"> </w:t>
      </w:r>
      <w:r>
        <w:rPr>
          <w:rFonts w:ascii="Arial" w:cs="Arial" w:eastAsia="Arial" w:hAnsi="Arial"/>
          <w:sz w:val="18"/>
          <w:szCs w:val="18"/>
          <w:color w:val="auto"/>
        </w:rPr>
        <w:t>style, color and fabric. Lauren Ralph Lauren Women’s is generally priced at a range of price points within the women’s better ready-to-wear apparel market. We currently sell this collection through department stores in the United States.</w:t>
      </w:r>
    </w:p>
    <w:p>
      <w:pPr>
        <w:spacing w:after="0" w:line="73" w:lineRule="exact"/>
        <w:rPr>
          <w:sz w:val="20"/>
          <w:szCs w:val="20"/>
          <w:color w:val="auto"/>
        </w:rPr>
      </w:pPr>
    </w:p>
    <w:p>
      <w:pPr>
        <w:ind w:right="220" w:firstLine="270"/>
        <w:spacing w:after="0" w:line="259" w:lineRule="auto"/>
        <w:rPr>
          <w:sz w:val="20"/>
          <w:szCs w:val="20"/>
          <w:color w:val="auto"/>
        </w:rPr>
      </w:pPr>
      <w:r>
        <w:rPr>
          <w:rFonts w:ascii="Arial" w:cs="Arial" w:eastAsia="Arial" w:hAnsi="Arial"/>
          <w:sz w:val="18"/>
          <w:szCs w:val="18"/>
          <w:i w:val="1"/>
          <w:iCs w:val="1"/>
          <w:color w:val="auto"/>
        </w:rPr>
        <w:t xml:space="preserve">Women’s Ralph Lauren Collection and Black Label. </w:t>
      </w:r>
      <w:r>
        <w:rPr>
          <w:rFonts w:ascii="Arial" w:cs="Arial" w:eastAsia="Arial" w:hAnsi="Arial"/>
          <w:sz w:val="18"/>
          <w:szCs w:val="18"/>
          <w:color w:val="auto"/>
        </w:rPr>
        <w:t>Our Ralph Lauren Collection expresses our up-to-the-moment fashion vision for women. Ralph</w:t>
      </w:r>
      <w:r>
        <w:rPr>
          <w:rFonts w:ascii="Arial" w:cs="Arial" w:eastAsia="Arial" w:hAnsi="Arial"/>
          <w:sz w:val="18"/>
          <w:szCs w:val="18"/>
          <w:i w:val="1"/>
          <w:iCs w:val="1"/>
          <w:color w:val="auto"/>
        </w:rPr>
        <w:t xml:space="preserve"> </w:t>
      </w:r>
      <w:r>
        <w:rPr>
          <w:rFonts w:ascii="Arial" w:cs="Arial" w:eastAsia="Arial" w:hAnsi="Arial"/>
          <w:sz w:val="18"/>
          <w:szCs w:val="18"/>
          <w:color w:val="auto"/>
        </w:rPr>
        <w:t>Lauren Black Label includes timeless versions of our most successful Collection styles as well as newly-designed classic signature styles. Collection and Black Label are offered through our Ralph Lauren stores and limited distribution to premier fashion retailers. Price points are at the upper end of the luxury range.</w:t>
      </w:r>
    </w:p>
    <w:p>
      <w:pPr>
        <w:spacing w:after="0" w:line="79" w:lineRule="exact"/>
        <w:rPr>
          <w:sz w:val="20"/>
          <w:szCs w:val="20"/>
          <w:color w:val="auto"/>
        </w:rPr>
      </w:pPr>
    </w:p>
    <w:p>
      <w:pPr>
        <w:ind w:right="160" w:firstLine="270"/>
        <w:spacing w:after="0" w:line="264" w:lineRule="auto"/>
        <w:rPr>
          <w:sz w:val="20"/>
          <w:szCs w:val="20"/>
          <w:color w:val="auto"/>
        </w:rPr>
      </w:pPr>
      <w:r>
        <w:rPr>
          <w:rFonts w:ascii="Arial" w:cs="Arial" w:eastAsia="Arial" w:hAnsi="Arial"/>
          <w:sz w:val="18"/>
          <w:szCs w:val="18"/>
          <w:i w:val="1"/>
          <w:iCs w:val="1"/>
          <w:color w:val="auto"/>
        </w:rPr>
        <w:t xml:space="preserve">Men’s Purple Label Collection. </w:t>
      </w:r>
      <w:r>
        <w:rPr>
          <w:rFonts w:ascii="Arial" w:cs="Arial" w:eastAsia="Arial" w:hAnsi="Arial"/>
          <w:sz w:val="18"/>
          <w:szCs w:val="18"/>
          <w:color w:val="auto"/>
        </w:rPr>
        <w:t>Our Purple Label collection of men’s tailored clothing and sportswear bring true luxury and quality to American</w:t>
      </w:r>
      <w:r>
        <w:rPr>
          <w:rFonts w:ascii="Arial" w:cs="Arial" w:eastAsia="Arial" w:hAnsi="Arial"/>
          <w:sz w:val="18"/>
          <w:szCs w:val="18"/>
          <w:i w:val="1"/>
          <w:iCs w:val="1"/>
          <w:color w:val="auto"/>
        </w:rPr>
        <w:t xml:space="preserve"> </w:t>
      </w:r>
      <w:r>
        <w:rPr>
          <w:rFonts w:ascii="Arial" w:cs="Arial" w:eastAsia="Arial" w:hAnsi="Arial"/>
          <w:sz w:val="18"/>
          <w:szCs w:val="18"/>
          <w:color w:val="auto"/>
        </w:rPr>
        <w:t>menswear. We sell the Purple Label collection through our Ralph Lauren stores and a limited number of premier fashion retailers at price points at the upper end of the luxury range.</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Men’s Black Label</w:t>
      </w:r>
    </w:p>
    <w:p>
      <w:pPr>
        <w:spacing w:after="0" w:line="117" w:lineRule="exact"/>
        <w:rPr>
          <w:sz w:val="20"/>
          <w:szCs w:val="20"/>
          <w:color w:val="auto"/>
        </w:rPr>
      </w:pPr>
    </w:p>
    <w:p>
      <w:pPr>
        <w:ind w:right="20" w:firstLine="270"/>
        <w:spacing w:after="0" w:line="286" w:lineRule="auto"/>
        <w:rPr>
          <w:sz w:val="20"/>
          <w:szCs w:val="20"/>
          <w:color w:val="auto"/>
        </w:rPr>
      </w:pPr>
      <w:r>
        <w:rPr>
          <w:rFonts w:ascii="Arial" w:cs="Arial" w:eastAsia="Arial" w:hAnsi="Arial"/>
          <w:sz w:val="17"/>
          <w:szCs w:val="17"/>
          <w:color w:val="auto"/>
        </w:rPr>
        <w:t>Our Ralph Lauren Black Label for men is a new sophisticated collection, featuring razor sharp tailoring and dramatically lean silhouettes, which is at once modern and timeless. Classic suiting and sportswear is infused with a savvier attitude. We sell the Men’s Black Label collection through our Ralph Lauren stores and a limited number of premier fashion retailers at price points at the upper end of the luxury range.</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Customers and Service</w:t>
      </w:r>
    </w:p>
    <w:p>
      <w:pPr>
        <w:spacing w:after="0" w:line="117"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Consistent with the appeal and distinctive image of our products and brands, we sell our menswear and womenswear products primarily to leading upscale department stores, specialty stores and golf and pro shops that have the reputation and merchandising expertise required for the effective presentation of Polo Ralph Lauren products. Our collection brands — Women’s Ralph Lauren Collection and Black Label and men’s Purple Label Collection and Black Label — are distributed through a limited number of premier fashion retailers.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70"/>
        <w:spacing w:after="0" w:line="264" w:lineRule="auto"/>
        <w:rPr>
          <w:sz w:val="20"/>
          <w:szCs w:val="20"/>
          <w:color w:val="auto"/>
        </w:rPr>
      </w:pPr>
      <w:r>
        <w:rPr>
          <w:rFonts w:ascii="Arial" w:cs="Arial" w:eastAsia="Arial" w:hAnsi="Arial"/>
          <w:sz w:val="18"/>
          <w:szCs w:val="18"/>
          <w:color w:val="auto"/>
        </w:rPr>
        <w:t>Our wholesale products are distributed through the primary distribution channels throughout the United States, Europe and other regions as listed in the table below. We also distribute our products through Company owned stores as discussed in the “Retail Segment” section. In addition, we sell excess and out-of-season products through secondary distribution channels.</w:t>
      </w:r>
    </w:p>
    <w:p>
      <w:pPr>
        <w:spacing w:after="0" w:line="78"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Approximate Number of</w:t>
      </w:r>
    </w:p>
    <w:p>
      <w:pPr>
        <w:ind w:left="8680"/>
        <w:spacing w:after="0" w:line="236" w:lineRule="auto"/>
        <w:rPr>
          <w:sz w:val="20"/>
          <w:szCs w:val="20"/>
          <w:color w:val="auto"/>
        </w:rPr>
      </w:pPr>
      <w:r>
        <w:rPr>
          <w:rFonts w:ascii="Arial" w:cs="Arial" w:eastAsia="Arial" w:hAnsi="Arial"/>
          <w:sz w:val="14"/>
          <w:szCs w:val="14"/>
          <w:b w:val="1"/>
          <w:bCs w:val="1"/>
          <w:color w:val="auto"/>
        </w:rPr>
        <w:t>Doors as of April 2, 2005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1300" w:type="dxa"/>
            <w:vAlign w:val="bottom"/>
            <w:tcBorders>
              <w:top w:val="single" w:sz="8" w:color="auto"/>
            </w:tcBorders>
            <w:gridSpan w:val="2"/>
          </w:tcPr>
          <w:p>
            <w:pPr>
              <w:jc w:val="center"/>
              <w:ind w:right="540"/>
              <w:spacing w:after="0" w:line="133" w:lineRule="exact"/>
              <w:rPr>
                <w:sz w:val="20"/>
                <w:szCs w:val="20"/>
                <w:color w:val="auto"/>
              </w:rPr>
            </w:pPr>
            <w:r>
              <w:rPr>
                <w:rFonts w:ascii="Arial" w:cs="Arial" w:eastAsia="Arial" w:hAnsi="Arial"/>
                <w:sz w:val="14"/>
                <w:szCs w:val="14"/>
                <w:b w:val="1"/>
                <w:bCs w:val="1"/>
                <w:color w:val="auto"/>
                <w:w w:val="92"/>
              </w:rPr>
              <w:t>Polo</w:t>
            </w:r>
          </w:p>
        </w:tc>
        <w:tc>
          <w:tcPr>
            <w:tcW w:w="1700" w:type="dxa"/>
            <w:vAlign w:val="bottom"/>
            <w:tcBorders>
              <w:top w:val="single" w:sz="8" w:color="auto"/>
            </w:tcBorders>
            <w:gridSpan w:val="2"/>
          </w:tcPr>
          <w:p>
            <w:pPr>
              <w:jc w:val="center"/>
              <w:ind w:right="800"/>
              <w:spacing w:after="0" w:line="133" w:lineRule="exact"/>
              <w:rPr>
                <w:sz w:val="20"/>
                <w:szCs w:val="20"/>
                <w:color w:val="auto"/>
              </w:rPr>
            </w:pPr>
            <w:r>
              <w:rPr>
                <w:rFonts w:ascii="Arial" w:cs="Arial" w:eastAsia="Arial" w:hAnsi="Arial"/>
                <w:sz w:val="14"/>
                <w:szCs w:val="14"/>
                <w:b w:val="1"/>
                <w:bCs w:val="1"/>
                <w:color w:val="auto"/>
                <w:w w:val="91"/>
              </w:rPr>
              <w:t>Collection</w:t>
            </w: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Lauren</w:t>
            </w:r>
          </w:p>
        </w:tc>
        <w:tc>
          <w:tcPr>
            <w:tcW w:w="2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Brands</w:t>
            </w:r>
          </w:p>
        </w:tc>
        <w:tc>
          <w:tcPr>
            <w:tcW w:w="56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Brands</w:t>
            </w:r>
          </w:p>
        </w:tc>
        <w:tc>
          <w:tcPr>
            <w:tcW w:w="800" w:type="dxa"/>
            <w:vAlign w:val="bottom"/>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Department Stores</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3,578</w:t>
            </w:r>
          </w:p>
        </w:tc>
        <w:tc>
          <w:tcPr>
            <w:tcW w:w="17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163</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Licensed Stores</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98</w:t>
            </w:r>
          </w:p>
        </w:tc>
        <w:tc>
          <w:tcPr>
            <w:tcW w:w="17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Specialty Stores</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4,036</w:t>
            </w:r>
          </w:p>
        </w:tc>
        <w:tc>
          <w:tcPr>
            <w:tcW w:w="17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166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Golf and Pro Shops</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2,210</w:t>
            </w:r>
          </w:p>
        </w:tc>
        <w:tc>
          <w:tcPr>
            <w:tcW w:w="17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720" w:firstLine="270"/>
        <w:spacing w:after="0" w:line="277" w:lineRule="auto"/>
        <w:rPr>
          <w:sz w:val="20"/>
          <w:szCs w:val="20"/>
          <w:color w:val="auto"/>
        </w:rPr>
      </w:pPr>
      <w:r>
        <w:rPr>
          <w:rFonts w:ascii="Arial" w:cs="Arial" w:eastAsia="Arial" w:hAnsi="Arial"/>
          <w:sz w:val="18"/>
          <w:szCs w:val="18"/>
          <w:color w:val="auto"/>
        </w:rPr>
        <w:t>Department stores represent the largest customer group of our wholesale group. Significant department store customers based on a percentage of worldwide wholesale net sales for the year ended April 2, 2005 are:</w:t>
      </w:r>
    </w:p>
    <w:p>
      <w:pPr>
        <w:spacing w:after="0" w:line="62" w:lineRule="exact"/>
        <w:rPr>
          <w:sz w:val="20"/>
          <w:szCs w:val="20"/>
          <w:color w:val="auto"/>
        </w:rPr>
      </w:pPr>
    </w:p>
    <w:p>
      <w:pPr>
        <w:ind w:left="460" w:hanging="101"/>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Federated Department Stores, Inc., which represented 18.0%,</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Dillard Department Stores, Inc., which represented 17.3%,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May Department Stores Company, which represented 15.8%.</w:t>
      </w:r>
    </w:p>
    <w:p>
      <w:pPr>
        <w:spacing w:after="0" w:line="117" w:lineRule="exact"/>
        <w:rPr>
          <w:sz w:val="20"/>
          <w:szCs w:val="20"/>
          <w:color w:val="auto"/>
        </w:rPr>
      </w:pPr>
    </w:p>
    <w:p>
      <w:pPr>
        <w:ind w:right="960" w:firstLine="260"/>
        <w:spacing w:after="0" w:line="277" w:lineRule="auto"/>
        <w:rPr>
          <w:sz w:val="20"/>
          <w:szCs w:val="20"/>
          <w:color w:val="auto"/>
        </w:rPr>
      </w:pPr>
      <w:r>
        <w:rPr>
          <w:rFonts w:ascii="Arial" w:cs="Arial" w:eastAsia="Arial" w:hAnsi="Arial"/>
          <w:sz w:val="18"/>
          <w:szCs w:val="18"/>
          <w:color w:val="auto"/>
        </w:rPr>
        <w:t>As noted in Risk Factors, the Federated Department Stores, Inc. and May Department Stores Company have agreed to merge. If the merger is consummated, it would significantly increase our credit exposure to a single customer.</w:t>
      </w:r>
    </w:p>
    <w:p>
      <w:pPr>
        <w:spacing w:after="0" w:line="62" w:lineRule="exact"/>
        <w:rPr>
          <w:sz w:val="20"/>
          <w:szCs w:val="20"/>
          <w:color w:val="auto"/>
        </w:rPr>
      </w:pPr>
    </w:p>
    <w:p>
      <w:pPr>
        <w:ind w:right="400" w:firstLine="270"/>
        <w:spacing w:after="0" w:line="308" w:lineRule="auto"/>
        <w:rPr>
          <w:sz w:val="20"/>
          <w:szCs w:val="20"/>
          <w:color w:val="auto"/>
        </w:rPr>
      </w:pPr>
      <w:r>
        <w:rPr>
          <w:rFonts w:ascii="Arial" w:cs="Arial" w:eastAsia="Arial" w:hAnsi="Arial"/>
          <w:sz w:val="17"/>
          <w:szCs w:val="17"/>
          <w:color w:val="auto"/>
        </w:rPr>
        <w:t>Our product brands are sold primarily through their own sales forces. Our Wholesale groups maintain their primary showrooms in New York City. In addition, we maintain regional showrooms in Atlanta, Chicago, Dallas, Los Angeles, Milan, Paris, London, Munich, Madrid and Stockholm.</w:t>
      </w:r>
    </w:p>
    <w:p>
      <w:pPr>
        <w:spacing w:after="0" w:line="38" w:lineRule="exact"/>
        <w:rPr>
          <w:sz w:val="20"/>
          <w:szCs w:val="20"/>
          <w:color w:val="auto"/>
        </w:rPr>
      </w:pPr>
    </w:p>
    <w:p>
      <w:pPr>
        <w:ind w:right="60" w:firstLine="270"/>
        <w:spacing w:after="0" w:line="257" w:lineRule="auto"/>
        <w:rPr>
          <w:sz w:val="20"/>
          <w:szCs w:val="20"/>
          <w:color w:val="auto"/>
        </w:rPr>
      </w:pPr>
      <w:r>
        <w:rPr>
          <w:rFonts w:ascii="Arial" w:cs="Arial" w:eastAsia="Arial" w:hAnsi="Arial"/>
          <w:sz w:val="18"/>
          <w:szCs w:val="18"/>
          <w:i w:val="1"/>
          <w:iCs w:val="1"/>
          <w:color w:val="auto"/>
        </w:rPr>
        <w:t xml:space="preserve">Shop-within-Shops. </w:t>
      </w:r>
      <w:r>
        <w:rPr>
          <w:rFonts w:ascii="Arial" w:cs="Arial" w:eastAsia="Arial" w:hAnsi="Arial"/>
          <w:sz w:val="18"/>
          <w:szCs w:val="18"/>
          <w:color w:val="auto"/>
        </w:rPr>
        <w:t>As a critical element of our distribution to department stores, we and our licensing partners utilize shop-within-shops to enhance</w:t>
      </w:r>
      <w:r>
        <w:rPr>
          <w:rFonts w:ascii="Arial" w:cs="Arial" w:eastAsia="Arial" w:hAnsi="Arial"/>
          <w:sz w:val="18"/>
          <w:szCs w:val="18"/>
          <w:i w:val="1"/>
          <w:iCs w:val="1"/>
          <w:color w:val="auto"/>
        </w:rPr>
        <w:t xml:space="preserve"> </w:t>
      </w:r>
      <w:r>
        <w:rPr>
          <w:rFonts w:ascii="Arial" w:cs="Arial" w:eastAsia="Arial" w:hAnsi="Arial"/>
          <w:sz w:val="18"/>
          <w:szCs w:val="18"/>
          <w:color w:val="auto"/>
        </w:rPr>
        <w:t>brand recognition, to permit more complete merchandising of our lines by the department stores and to differentiate the presentation of products. Shop-within-shops fixed assets primarily include items such as customized freestanding fixtures, moveable wall cases and components, decorative items and flooring. We capitalize our share of the cost of these fixed assets and amortize them using the straight-line method over their estimated useful lives of three to five years.</w:t>
      </w:r>
    </w:p>
    <w:p>
      <w:pPr>
        <w:spacing w:after="0" w:line="80" w:lineRule="exact"/>
        <w:rPr>
          <w:sz w:val="20"/>
          <w:szCs w:val="20"/>
          <w:color w:val="auto"/>
        </w:rPr>
      </w:pPr>
    </w:p>
    <w:p>
      <w:pPr>
        <w:ind w:right="120" w:firstLine="260"/>
        <w:spacing w:after="0" w:line="293" w:lineRule="auto"/>
        <w:rPr>
          <w:sz w:val="20"/>
          <w:szCs w:val="20"/>
          <w:color w:val="auto"/>
        </w:rPr>
      </w:pPr>
      <w:r>
        <w:rPr>
          <w:rFonts w:ascii="Arial" w:cs="Arial" w:eastAsia="Arial" w:hAnsi="Arial"/>
          <w:sz w:val="16"/>
          <w:szCs w:val="16"/>
          <w:color w:val="auto"/>
        </w:rPr>
        <w:t>At April 2, 2005, we had approximately 6,854 shop-within-shops dedicated to our wholesale products and our licensing partner had more than 697 shop-within-shops dedicated to our licensed products worldwide. During Fiscal 2005, we added approximately 996 shop-within-shops. Excluding significantly larger shop-within-shops in key department store locations, the size of our shop-within-shops typically ranges from approximately 130 to 4,800 square feet for Polo products, from approximately 240 to 4,000 square feet for Lauren by Ralph Lauren, from approximately 100 to 600 square feet for our Collection Brands, and from approximately 300 to 900 square feet for Home Furnishings. In total, we estimate that approximately 3.9 million square feet of department store space worldwide is dedicated to our shop-within-shops. In addition to shop-within-shops, we use exclusively fixtured areas in department stores.</w:t>
      </w:r>
    </w:p>
    <w:p>
      <w:pPr>
        <w:spacing w:after="0" w:line="57"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i w:val="1"/>
          <w:iCs w:val="1"/>
          <w:color w:val="auto"/>
        </w:rPr>
        <w:t xml:space="preserve">Basic Stock Replenishment Program. </w:t>
      </w:r>
      <w:r>
        <w:rPr>
          <w:rFonts w:ascii="Arial" w:cs="Arial" w:eastAsia="Arial" w:hAnsi="Arial"/>
          <w:sz w:val="18"/>
          <w:szCs w:val="18"/>
          <w:color w:val="auto"/>
        </w:rPr>
        <w:t>Basic products such as knit shirts, chino pants and oxford cloth shirts can be ordered at any time through our basic</w:t>
      </w:r>
      <w:r>
        <w:rPr>
          <w:rFonts w:ascii="Arial" w:cs="Arial" w:eastAsia="Arial" w:hAnsi="Arial"/>
          <w:sz w:val="18"/>
          <w:szCs w:val="18"/>
          <w:i w:val="1"/>
          <w:iCs w:val="1"/>
          <w:color w:val="auto"/>
        </w:rPr>
        <w:t xml:space="preserve"> </w:t>
      </w:r>
      <w:r>
        <w:rPr>
          <w:rFonts w:ascii="Arial" w:cs="Arial" w:eastAsia="Arial" w:hAnsi="Arial"/>
          <w:sz w:val="18"/>
          <w:szCs w:val="18"/>
          <w:color w:val="auto"/>
        </w:rPr>
        <w:t>stock replenishment programs. We generally ship these products within one to five days of order receipt. These products accounted for approximately 5.2% of our wholesale net sales in Fiscal 2005. We have also implemented a seasonal quick response program to allow replenishment of products which can be ordered for only a portion of each year.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Segment</w:t>
      </w:r>
    </w:p>
    <w:p>
      <w:pPr>
        <w:spacing w:after="0" w:line="121" w:lineRule="exact"/>
        <w:rPr>
          <w:sz w:val="20"/>
          <w:szCs w:val="20"/>
          <w:color w:val="auto"/>
        </w:rPr>
      </w:pPr>
    </w:p>
    <w:p>
      <w:pPr>
        <w:ind w:right="260" w:firstLine="260"/>
        <w:spacing w:after="0" w:line="277" w:lineRule="auto"/>
        <w:rPr>
          <w:sz w:val="20"/>
          <w:szCs w:val="20"/>
          <w:color w:val="auto"/>
        </w:rPr>
      </w:pPr>
      <w:r>
        <w:rPr>
          <w:rFonts w:ascii="Arial" w:cs="Arial" w:eastAsia="Arial" w:hAnsi="Arial"/>
          <w:sz w:val="18"/>
          <w:szCs w:val="18"/>
          <w:color w:val="auto"/>
        </w:rPr>
        <w:t>A primary strategic focus of the Company has been the development of retail stores dedicated to the sale of our products. Located in prime retail areas, our 130 full-price stores operate under the following names:</w:t>
      </w:r>
    </w:p>
    <w:p>
      <w:pPr>
        <w:sectPr>
          <w:pgSz w:w="11900" w:h="16838" w:orient="portrait"/>
          <w:cols w:equalWidth="0" w:num="1">
            <w:col w:w="11400"/>
          </w:cols>
          <w:pgMar w:left="240" w:top="419" w:right="259" w:bottom="1440" w:gutter="0" w:footer="0" w:header="0"/>
        </w:sectPr>
      </w:pP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 Ralph Lauren (58 stores)</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Ralph Lauren stores feature the full-breadth of the Ralph Lauren apparel, accessory and home product assortments in an atmosphere consistent with the distinctive attitude and luxury positioning of the Ralph Lauren brand. We operate 42 Ralph Lauren stores in the United States, 12 Ralph Lauren stores in Europe and 4 Ralph Lauren stores in other regions.</w:t>
      </w:r>
    </w:p>
    <w:p>
      <w:pPr>
        <w:spacing w:after="0" w:line="92" w:lineRule="exact"/>
        <w:rPr>
          <w:sz w:val="20"/>
          <w:szCs w:val="20"/>
          <w:color w:val="auto"/>
        </w:rPr>
      </w:pPr>
    </w:p>
    <w:p>
      <w:pPr>
        <w:sectPr>
          <w:pgSz w:w="11900" w:h="16838" w:orient="portrait"/>
          <w:cols w:equalWidth="0" w:num="2">
            <w:col w:w="2620" w:space="720"/>
            <w:col w:w="8060"/>
          </w:cols>
          <w:pgMar w:left="240" w:top="419" w:right="259" w:bottom="1440" w:gutter="0" w:footer="0" w:header="0"/>
          <w:type w:val="continuous"/>
        </w:sectPr>
      </w:pPr>
    </w:p>
    <w:p>
      <w:pPr>
        <w:spacing w:after="0"/>
        <w:rPr>
          <w:sz w:val="20"/>
          <w:szCs w:val="20"/>
          <w:color w:val="auto"/>
        </w:rPr>
      </w:pPr>
      <w:r>
        <w:rPr>
          <w:rFonts w:ascii="Arial" w:cs="Arial" w:eastAsia="Arial" w:hAnsi="Arial"/>
          <w:sz w:val="16"/>
          <w:szCs w:val="16"/>
          <w:color w:val="auto"/>
        </w:rPr>
        <w:t>• Club Monaco (61 stores)</w:t>
      </w:r>
    </w:p>
    <w:p>
      <w:pPr>
        <w:spacing w:after="0" w:line="20" w:lineRule="exact"/>
        <w:rPr>
          <w:sz w:val="20"/>
          <w:szCs w:val="20"/>
          <w:color w:val="auto"/>
        </w:rPr>
      </w:pPr>
      <w:r>
        <w:rPr>
          <w:sz w:val="20"/>
          <w:szCs w:val="20"/>
          <w:color w:val="auto"/>
        </w:rPr>
        <w:br w:type="column"/>
      </w:r>
    </w:p>
    <w:p>
      <w:pPr>
        <w:ind w:right="360"/>
        <w:spacing w:after="0" w:line="308" w:lineRule="auto"/>
        <w:rPr>
          <w:sz w:val="20"/>
          <w:szCs w:val="20"/>
          <w:color w:val="auto"/>
        </w:rPr>
      </w:pPr>
      <w:r>
        <w:rPr>
          <w:rFonts w:ascii="Arial" w:cs="Arial" w:eastAsia="Arial" w:hAnsi="Arial"/>
          <w:sz w:val="17"/>
          <w:szCs w:val="17"/>
          <w:color w:val="auto"/>
        </w:rPr>
        <w:t>Club Monaco stores feature updated fashion apparel and accessories for both men and women. The brand’s clean and updated classic signature style forms the foundation of a modern wardrobe.</w:t>
      </w:r>
    </w:p>
    <w:p>
      <w:pPr>
        <w:spacing w:after="0" w:line="52" w:lineRule="exact"/>
        <w:rPr>
          <w:sz w:val="20"/>
          <w:szCs w:val="20"/>
          <w:color w:val="auto"/>
        </w:rPr>
      </w:pPr>
    </w:p>
    <w:p>
      <w:pPr>
        <w:sectPr>
          <w:pgSz w:w="11900" w:h="16838" w:orient="portrait"/>
          <w:cols w:equalWidth="0" w:num="2">
            <w:col w:w="2620" w:space="720"/>
            <w:col w:w="8060"/>
          </w:cols>
          <w:pgMar w:left="240" w:top="419" w:right="259" w:bottom="1440" w:gutter="0" w:footer="0" w:header="0"/>
          <w:type w:val="continuous"/>
        </w:sectPr>
      </w:pPr>
    </w:p>
    <w:p>
      <w:pPr>
        <w:spacing w:after="0"/>
        <w:tabs>
          <w:tab w:leader="none" w:pos="3320" w:val="left"/>
        </w:tabs>
        <w:rPr>
          <w:sz w:val="20"/>
          <w:szCs w:val="20"/>
          <w:color w:val="auto"/>
        </w:rPr>
      </w:pPr>
      <w:r>
        <w:rPr>
          <w:rFonts w:ascii="Arial" w:cs="Arial" w:eastAsia="Arial" w:hAnsi="Arial"/>
          <w:sz w:val="18"/>
          <w:szCs w:val="18"/>
          <w:color w:val="auto"/>
        </w:rPr>
        <w:t>• Caban (8 stores)</w:t>
      </w:r>
      <w:r>
        <w:rPr>
          <w:sz w:val="20"/>
          <w:szCs w:val="20"/>
          <w:color w:val="auto"/>
        </w:rPr>
        <w:tab/>
      </w:r>
      <w:r>
        <w:rPr>
          <w:rFonts w:ascii="Arial" w:cs="Arial" w:eastAsia="Arial" w:hAnsi="Arial"/>
          <w:sz w:val="16"/>
          <w:szCs w:val="16"/>
          <w:color w:val="auto"/>
        </w:rPr>
        <w:t>Caban home concept stores offer a unique shopping experience by mixing both fashion and interior design in a</w:t>
      </w:r>
    </w:p>
    <w:p>
      <w:pPr>
        <w:spacing w:after="0" w:line="23" w:lineRule="exact"/>
        <w:rPr>
          <w:sz w:val="20"/>
          <w:szCs w:val="20"/>
          <w:color w:val="auto"/>
        </w:rPr>
      </w:pPr>
    </w:p>
    <w:p>
      <w:pPr>
        <w:ind w:left="3340" w:right="80"/>
        <w:spacing w:after="0" w:line="261" w:lineRule="auto"/>
        <w:rPr>
          <w:sz w:val="20"/>
          <w:szCs w:val="20"/>
          <w:color w:val="auto"/>
        </w:rPr>
      </w:pPr>
      <w:r>
        <w:rPr>
          <w:rFonts w:ascii="Arial" w:cs="Arial" w:eastAsia="Arial" w:hAnsi="Arial"/>
          <w:sz w:val="18"/>
          <w:szCs w:val="18"/>
          <w:color w:val="auto"/>
        </w:rPr>
        <w:t>dynamic retail environment. Caban stores feature a complete range of product in bath, bedding, tabletop, home accessories, furniture and apparel.</w:t>
      </w:r>
    </w:p>
    <w:p>
      <w:pPr>
        <w:spacing w:after="0" w:line="89" w:lineRule="exact"/>
        <w:rPr>
          <w:sz w:val="20"/>
          <w:szCs w:val="20"/>
          <w:color w:val="auto"/>
        </w:rPr>
      </w:pPr>
    </w:p>
    <w:p>
      <w:pPr>
        <w:spacing w:after="0"/>
        <w:tabs>
          <w:tab w:leader="none" w:pos="3320" w:val="left"/>
        </w:tabs>
        <w:rPr>
          <w:sz w:val="20"/>
          <w:szCs w:val="20"/>
          <w:color w:val="auto"/>
        </w:rPr>
      </w:pPr>
      <w:r>
        <w:rPr>
          <w:rFonts w:ascii="Arial" w:cs="Arial" w:eastAsia="Arial" w:hAnsi="Arial"/>
          <w:sz w:val="18"/>
          <w:szCs w:val="18"/>
          <w:color w:val="auto"/>
        </w:rPr>
        <w:t>• Rugby (3 stores)</w:t>
      </w:r>
      <w:r>
        <w:rPr>
          <w:sz w:val="20"/>
          <w:szCs w:val="20"/>
          <w:color w:val="auto"/>
        </w:rPr>
        <w:tab/>
      </w:r>
      <w:r>
        <w:rPr>
          <w:rFonts w:ascii="Arial" w:cs="Arial" w:eastAsia="Arial" w:hAnsi="Arial"/>
          <w:sz w:val="16"/>
          <w:szCs w:val="16"/>
          <w:color w:val="auto"/>
        </w:rPr>
        <w:t>Rugby, the newest brand in the Ralph Lauren family, is a vertical retail format featuring an aspirational lifestyle</w:t>
      </w:r>
    </w:p>
    <w:p>
      <w:pPr>
        <w:spacing w:after="0" w:line="23" w:lineRule="exact"/>
        <w:rPr>
          <w:sz w:val="20"/>
          <w:szCs w:val="20"/>
          <w:color w:val="auto"/>
        </w:rPr>
      </w:pPr>
    </w:p>
    <w:p>
      <w:pPr>
        <w:ind w:left="3340" w:right="360"/>
        <w:spacing w:after="0" w:line="261" w:lineRule="auto"/>
        <w:rPr>
          <w:sz w:val="20"/>
          <w:szCs w:val="20"/>
          <w:color w:val="auto"/>
        </w:rPr>
      </w:pPr>
      <w:r>
        <w:rPr>
          <w:rFonts w:ascii="Arial" w:cs="Arial" w:eastAsia="Arial" w:hAnsi="Arial"/>
          <w:sz w:val="18"/>
          <w:szCs w:val="18"/>
          <w:color w:val="auto"/>
        </w:rPr>
        <w:t>collection of apparel and accessories for men and women. The brand is characterized by a youthful, preppy attitude which resonates throughout the line and the store experience.</w:t>
      </w:r>
    </w:p>
    <w:p>
      <w:pPr>
        <w:spacing w:after="0" w:line="89" w:lineRule="exact"/>
        <w:rPr>
          <w:sz w:val="20"/>
          <w:szCs w:val="20"/>
          <w:color w:val="auto"/>
        </w:rPr>
      </w:pPr>
    </w:p>
    <w:p>
      <w:pPr>
        <w:spacing w:after="0"/>
        <w:tabs>
          <w:tab w:leader="none" w:pos="3320" w:val="left"/>
        </w:tabs>
        <w:rPr>
          <w:sz w:val="20"/>
          <w:szCs w:val="20"/>
          <w:color w:val="auto"/>
        </w:rPr>
      </w:pPr>
      <w:r>
        <w:rPr>
          <w:rFonts w:ascii="Arial" w:cs="Arial" w:eastAsia="Arial" w:hAnsi="Arial"/>
          <w:sz w:val="18"/>
          <w:szCs w:val="18"/>
          <w:color w:val="auto"/>
        </w:rPr>
        <w:t>• Ralph Lauren Media</w:t>
      </w:r>
      <w:r>
        <w:rPr>
          <w:sz w:val="20"/>
          <w:szCs w:val="20"/>
          <w:color w:val="auto"/>
        </w:rPr>
        <w:tab/>
      </w:r>
      <w:r>
        <w:rPr>
          <w:rFonts w:ascii="Arial" w:cs="Arial" w:eastAsia="Arial" w:hAnsi="Arial"/>
          <w:sz w:val="16"/>
          <w:szCs w:val="16"/>
          <w:color w:val="auto"/>
        </w:rPr>
        <w:t>Our e-commerce site offers our customers access to the full breadth of Ralph Lauren apparel, accessories, and</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home products through the internet. Ralph Lauren Media is a 50% owned joint venture.</w:t>
      </w:r>
    </w:p>
    <w:p>
      <w:pPr>
        <w:spacing w:after="0" w:line="103" w:lineRule="exact"/>
        <w:rPr>
          <w:sz w:val="20"/>
          <w:szCs w:val="20"/>
          <w:color w:val="auto"/>
        </w:rPr>
      </w:pPr>
    </w:p>
    <w:p>
      <w:pPr>
        <w:ind w:right="40" w:firstLine="270"/>
        <w:spacing w:after="0" w:line="257" w:lineRule="auto"/>
        <w:rPr>
          <w:sz w:val="20"/>
          <w:szCs w:val="20"/>
          <w:color w:val="auto"/>
        </w:rPr>
      </w:pPr>
      <w:r>
        <w:rPr>
          <w:rFonts w:ascii="Arial" w:cs="Arial" w:eastAsia="Arial" w:hAnsi="Arial"/>
          <w:sz w:val="18"/>
          <w:szCs w:val="18"/>
          <w:color w:val="auto"/>
        </w:rPr>
        <w:t>In addition to generating sales of our products, our worldwide full-price stores set, reinforce and capitalize on the image of our brands. We have 6 Flagship Ralph Lauren stores, which showcase our upper end luxury styles and products and demonstrate our most refined merchandising techniques. During Fiscal 2005, we added 16 full price stores, net of 4 store closings. Our stores range in size from approximately 1,100 to over 37,500 square feet. These full-price stores are situated in upscale regional malls and major upscale street locations, generally in large urban markets. We generally lease our stores for initial periods ranging from 5 to 10 years with renewal options.</w:t>
      </w:r>
    </w:p>
    <w:p>
      <w:pPr>
        <w:spacing w:after="0" w:line="80" w:lineRule="exact"/>
        <w:rPr>
          <w:sz w:val="20"/>
          <w:szCs w:val="20"/>
          <w:color w:val="auto"/>
        </w:rPr>
      </w:pPr>
    </w:p>
    <w:p>
      <w:pPr>
        <w:ind w:right="320" w:firstLine="267"/>
        <w:spacing w:after="0" w:line="264" w:lineRule="auto"/>
        <w:rPr>
          <w:sz w:val="20"/>
          <w:szCs w:val="20"/>
          <w:color w:val="auto"/>
        </w:rPr>
      </w:pPr>
      <w:r>
        <w:rPr>
          <w:rFonts w:ascii="Arial" w:cs="Arial" w:eastAsia="Arial" w:hAnsi="Arial"/>
          <w:sz w:val="18"/>
          <w:szCs w:val="18"/>
          <w:color w:val="auto"/>
        </w:rPr>
        <w:t>We extend our reach to additional consumer groups through our 103 domestic Polo Ralph Lauren outlet stores, 19 domestic Polo Jeans outlet stores, 5 Club Monaco outlet stores and 21 European outlet stores. During Fiscal 2005, we added 1 new outlet store, net of 9 store closings. Our outlet stores are generally located in outlet malls.</w:t>
      </w:r>
    </w:p>
    <w:p>
      <w:pPr>
        <w:spacing w:after="0" w:line="73" w:lineRule="exact"/>
        <w:rPr>
          <w:sz w:val="20"/>
          <w:szCs w:val="20"/>
          <w:color w:val="auto"/>
        </w:rPr>
      </w:pPr>
    </w:p>
    <w:p>
      <w:pPr>
        <w:jc w:val="both"/>
        <w:ind w:left="460" w:right="400" w:hanging="101"/>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Polo Ralph Lauren </w:t>
      </w:r>
      <w:r>
        <w:rPr>
          <w:rFonts w:ascii="Arial" w:cs="Arial" w:eastAsia="Arial" w:hAnsi="Arial"/>
          <w:sz w:val="18"/>
          <w:szCs w:val="18"/>
          <w:color w:val="auto"/>
        </w:rPr>
        <w:t>outlet stores offer selections of our menswear, womenswear, children’s apparel, accessories, home furnishings and fragrances.</w:t>
      </w:r>
      <w:r>
        <w:rPr>
          <w:rFonts w:ascii="Arial" w:cs="Arial" w:eastAsia="Arial" w:hAnsi="Arial"/>
          <w:sz w:val="18"/>
          <w:szCs w:val="18"/>
          <w:i w:val="1"/>
          <w:iCs w:val="1"/>
          <w:color w:val="auto"/>
        </w:rPr>
        <w:t xml:space="preserve"> </w:t>
      </w:r>
      <w:r>
        <w:rPr>
          <w:rFonts w:ascii="Arial" w:cs="Arial" w:eastAsia="Arial" w:hAnsi="Arial"/>
          <w:sz w:val="18"/>
          <w:szCs w:val="18"/>
          <w:color w:val="auto"/>
        </w:rPr>
        <w:t>Ranging in size from 3,000 to 20,000 square feet, with an average of approximately 9,100 square feet, these stores are principally located in major outlet centers in 35 states and Puerto Rico.</w:t>
      </w:r>
    </w:p>
    <w:p>
      <w:pPr>
        <w:spacing w:after="0" w:line="86" w:lineRule="exact"/>
        <w:rPr>
          <w:rFonts w:ascii="Arial" w:cs="Arial" w:eastAsia="Arial" w:hAnsi="Arial"/>
          <w:sz w:val="18"/>
          <w:szCs w:val="18"/>
          <w:color w:val="auto"/>
        </w:rPr>
      </w:pPr>
    </w:p>
    <w:p>
      <w:pPr>
        <w:jc w:val="both"/>
        <w:ind w:left="460" w:right="120" w:hanging="101"/>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Polo Jeans </w:t>
      </w:r>
      <w:r>
        <w:rPr>
          <w:rFonts w:ascii="Arial" w:cs="Arial" w:eastAsia="Arial" w:hAnsi="Arial"/>
          <w:sz w:val="18"/>
          <w:szCs w:val="18"/>
          <w:color w:val="auto"/>
        </w:rPr>
        <w:t>outlet stores carry all classifications within the Polo Jeans line, including denim, knit and woven tops, sweaters, outerwear, casual bottoms</w:t>
      </w:r>
      <w:r>
        <w:rPr>
          <w:rFonts w:ascii="Arial" w:cs="Arial" w:eastAsia="Arial" w:hAnsi="Arial"/>
          <w:sz w:val="18"/>
          <w:szCs w:val="18"/>
          <w:i w:val="1"/>
          <w:iCs w:val="1"/>
          <w:color w:val="auto"/>
        </w:rPr>
        <w:t xml:space="preserve"> </w:t>
      </w:r>
      <w:r>
        <w:rPr>
          <w:rFonts w:ascii="Arial" w:cs="Arial" w:eastAsia="Arial" w:hAnsi="Arial"/>
          <w:sz w:val="18"/>
          <w:szCs w:val="18"/>
          <w:color w:val="auto"/>
        </w:rPr>
        <w:t>and accessories. Ranging in size from 3,000 to 5,000 square feet, with an average of 4,000 square feet, these stores are located in 11 states, principally in major outlet centers.</w:t>
      </w:r>
    </w:p>
    <w:p>
      <w:pPr>
        <w:spacing w:after="0" w:line="86" w:lineRule="exact"/>
        <w:rPr>
          <w:rFonts w:ascii="Arial" w:cs="Arial" w:eastAsia="Arial" w:hAnsi="Arial"/>
          <w:sz w:val="18"/>
          <w:szCs w:val="18"/>
          <w:color w:val="auto"/>
        </w:rPr>
      </w:pPr>
    </w:p>
    <w:p>
      <w:pPr>
        <w:ind w:left="460" w:right="60" w:hanging="101"/>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Club Monaco </w:t>
      </w:r>
      <w:r>
        <w:rPr>
          <w:rFonts w:ascii="Arial" w:cs="Arial" w:eastAsia="Arial" w:hAnsi="Arial"/>
          <w:sz w:val="18"/>
          <w:szCs w:val="18"/>
          <w:color w:val="auto"/>
        </w:rPr>
        <w:t>outlet stores offer basic and fashion Club Monaco items. Ranging in size from 7,200 to 18,500 square feet, these stores are located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and Canada.</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hanging="101"/>
        <w:spacing w:after="0" w:line="34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European </w:t>
      </w:r>
      <w:r>
        <w:rPr>
          <w:rFonts w:ascii="Arial" w:cs="Arial" w:eastAsia="Arial" w:hAnsi="Arial"/>
          <w:sz w:val="16"/>
          <w:szCs w:val="16"/>
          <w:color w:val="auto"/>
        </w:rPr>
        <w:t>outlet stores offer selections of our menswear, womenswear, children’s apparel and accessories. Ranging in size from 2,500 to 13,200 square</w:t>
      </w:r>
      <w:r>
        <w:rPr>
          <w:rFonts w:ascii="Arial" w:cs="Arial" w:eastAsia="Arial" w:hAnsi="Arial"/>
          <w:sz w:val="16"/>
          <w:szCs w:val="16"/>
          <w:i w:val="1"/>
          <w:iCs w:val="1"/>
          <w:color w:val="auto"/>
        </w:rPr>
        <w:t xml:space="preserve"> </w:t>
      </w:r>
      <w:r>
        <w:rPr>
          <w:rFonts w:ascii="Arial" w:cs="Arial" w:eastAsia="Arial" w:hAnsi="Arial"/>
          <w:sz w:val="16"/>
          <w:szCs w:val="16"/>
          <w:color w:val="auto"/>
        </w:rPr>
        <w:t>feet, with an average of approximately 5,400 square feet, these stores are located in 6 countries, principally in major outlet centers.</w:t>
      </w:r>
    </w:p>
    <w:p>
      <w:pPr>
        <w:spacing w:after="0" w:line="29" w:lineRule="exact"/>
        <w:rPr>
          <w:rFonts w:ascii="Arial" w:cs="Arial" w:eastAsia="Arial" w:hAnsi="Arial"/>
          <w:sz w:val="16"/>
          <w:szCs w:val="16"/>
          <w:color w:val="auto"/>
        </w:rPr>
      </w:pPr>
    </w:p>
    <w:p>
      <w:pPr>
        <w:ind w:left="460" w:hanging="101"/>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Ralph Lauren Media sells the full breadth of Ralph Lauren apparel, accessories and home products via its website at www.polo.com.</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Outlet stores obtain products directly from us, including our retail stores, our product licensing partners and our suppliers.</w:t>
      </w:r>
    </w:p>
    <w:p>
      <w:pPr>
        <w:spacing w:after="0" w:line="117" w:lineRule="exact"/>
        <w:rPr>
          <w:sz w:val="20"/>
          <w:szCs w:val="20"/>
          <w:color w:val="auto"/>
        </w:rPr>
      </w:pPr>
    </w:p>
    <w:p>
      <w:pPr>
        <w:ind w:right="80" w:firstLine="270"/>
        <w:spacing w:after="0" w:line="286" w:lineRule="auto"/>
        <w:rPr>
          <w:sz w:val="20"/>
          <w:szCs w:val="20"/>
          <w:color w:val="auto"/>
        </w:rPr>
      </w:pPr>
      <w:r>
        <w:rPr>
          <w:rFonts w:ascii="Arial" w:cs="Arial" w:eastAsia="Arial" w:hAnsi="Arial"/>
          <w:sz w:val="17"/>
          <w:szCs w:val="17"/>
          <w:color w:val="auto"/>
        </w:rPr>
        <w:t>In addition, we have one remaining license with an independent party to operate a store in the United States. We receive the proceeds from the sale of our products to this store, which are included in wholesale net sales, and also receive royalties from this licensed store operator, which are included in licensing revenue from our licensing partners sales to this store. We generally do not receive any other compensation from the licensee.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Segment</w:t>
      </w:r>
    </w:p>
    <w:p>
      <w:pPr>
        <w:spacing w:after="0" w:line="121" w:lineRule="exact"/>
        <w:rPr>
          <w:sz w:val="20"/>
          <w:szCs w:val="20"/>
          <w:color w:val="auto"/>
        </w:rPr>
      </w:pPr>
    </w:p>
    <w:p>
      <w:pPr>
        <w:ind w:right="140" w:firstLine="267"/>
        <w:spacing w:after="0" w:line="277" w:lineRule="auto"/>
        <w:rPr>
          <w:sz w:val="20"/>
          <w:szCs w:val="20"/>
          <w:color w:val="auto"/>
        </w:rPr>
      </w:pPr>
      <w:r>
        <w:rPr>
          <w:rFonts w:ascii="Arial" w:cs="Arial" w:eastAsia="Arial" w:hAnsi="Arial"/>
          <w:sz w:val="18"/>
          <w:szCs w:val="18"/>
          <w:color w:val="auto"/>
        </w:rPr>
        <w:t>Through licensing alliances, we combine our consumer insight, design, and marketing skills with the specific product or geographic competencies of our licensing partners to create and build new businesses. We generally seek out licensing partners who:</w:t>
      </w:r>
    </w:p>
    <w:p>
      <w:pPr>
        <w:spacing w:after="0" w:line="62" w:lineRule="exact"/>
        <w:rPr>
          <w:sz w:val="20"/>
          <w:szCs w:val="20"/>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are leaders in their respective markets,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contribute the majority of our product development costs,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the operational infrastructure required to support the business,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own the inventory.</w:t>
      </w:r>
    </w:p>
    <w:p>
      <w:pPr>
        <w:spacing w:after="0" w:line="117" w:lineRule="exact"/>
        <w:rPr>
          <w:sz w:val="20"/>
          <w:szCs w:val="20"/>
          <w:color w:val="auto"/>
        </w:rPr>
      </w:pPr>
    </w:p>
    <w:p>
      <w:pPr>
        <w:ind w:right="120" w:firstLine="267"/>
        <w:spacing w:after="0" w:line="272" w:lineRule="auto"/>
        <w:rPr>
          <w:sz w:val="20"/>
          <w:szCs w:val="20"/>
          <w:color w:val="auto"/>
        </w:rPr>
      </w:pPr>
      <w:r>
        <w:rPr>
          <w:rFonts w:ascii="Arial" w:cs="Arial" w:eastAsia="Arial" w:hAnsi="Arial"/>
          <w:sz w:val="17"/>
          <w:szCs w:val="17"/>
          <w:color w:val="auto"/>
        </w:rPr>
        <w:t>We grant product and non-U.S. international licensing partners the right to manufacture and sell at wholesale, and also grant international licenses the right to sell at retail, specified categories of products under one or more of our trademarks. Our international licensing partners produce and source products both independently and in conjunction with us and our product licensing partners. Each licensing partner pays us royalties based upon its sales of our products, subject, generally, to a minimum royalty requirement. Other than our Ralph Lauren Home collection licenses, which are discussed below, these payments generally range from 2.5% to 18.0% of the licensing partners’ sales of the licensed products. In addition, licensing partners are required to allocate between approximately 3% and 4% of their sales to advertise our products and share in the creative costs associated with these products. Larger allocations are required in connection with launches of new products or in new territories.</w:t>
      </w:r>
    </w:p>
    <w:p>
      <w:pPr>
        <w:spacing w:after="0" w:line="70" w:lineRule="exact"/>
        <w:rPr>
          <w:sz w:val="20"/>
          <w:szCs w:val="20"/>
          <w:color w:val="auto"/>
        </w:rPr>
      </w:pPr>
    </w:p>
    <w:p>
      <w:pPr>
        <w:ind w:firstLine="267"/>
        <w:spacing w:after="0" w:line="302" w:lineRule="auto"/>
        <w:rPr>
          <w:sz w:val="20"/>
          <w:szCs w:val="20"/>
          <w:color w:val="auto"/>
        </w:rPr>
      </w:pPr>
      <w:r>
        <w:rPr>
          <w:rFonts w:ascii="Arial" w:cs="Arial" w:eastAsia="Arial" w:hAnsi="Arial"/>
          <w:sz w:val="16"/>
          <w:szCs w:val="16"/>
          <w:color w:val="auto"/>
        </w:rPr>
        <w:t>We work closely with our licensing partners to ensure that their products are developed, marketed and distributed so as to address the intended market opportunity and to present consistently to consumers worldwide the distinctive perspective and lifestyle associated with our brands. Virtually all aspects of the design, production quality, packaging, merchandising, distribution, advertising and promotion of Polo Ralph Lauren products are subject to our prior approval and continuing oversight. The result is a consistent identity for Polo Ralph Lauren products across product categories and international markets.</w:t>
      </w:r>
    </w:p>
    <w:p>
      <w:pPr>
        <w:spacing w:after="0" w:line="46" w:lineRule="exact"/>
        <w:rPr>
          <w:sz w:val="20"/>
          <w:szCs w:val="20"/>
          <w:color w:val="auto"/>
        </w:rPr>
      </w:pPr>
    </w:p>
    <w:p>
      <w:pPr>
        <w:ind w:right="20" w:firstLine="260"/>
        <w:spacing w:after="0" w:line="302" w:lineRule="auto"/>
        <w:rPr>
          <w:sz w:val="20"/>
          <w:szCs w:val="20"/>
          <w:color w:val="auto"/>
        </w:rPr>
      </w:pPr>
      <w:r>
        <w:rPr>
          <w:rFonts w:ascii="Arial" w:cs="Arial" w:eastAsia="Arial" w:hAnsi="Arial"/>
          <w:sz w:val="16"/>
          <w:szCs w:val="16"/>
          <w:color w:val="auto"/>
        </w:rPr>
        <w:t>As of April 2, 2005, we had 18 product licensing partners (excluding Ralph Lauren Home), 6 international licensing partners and 10 Ralph Lauren Home licensing partners. We derive a substantial portion of our net income from the licensing revenue we receive from our licensing partners. Approximately 33.5% of our licensing revenue for Fiscal 2005 was derived from three product licensing partners: West Point Stevens, Inc, Impact21 and Jones Apparel Group, Inc., accounted for 14.2%, 12.1% and 7.2%, respectively, of licensing revenue in Fiscal 2005. (See Note 4 to our Consolidated Financial Statements.)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Product Licenses</w:t>
      </w:r>
    </w:p>
    <w:p>
      <w:pPr>
        <w:spacing w:after="0" w:line="117" w:lineRule="exact"/>
        <w:rPr>
          <w:sz w:val="20"/>
          <w:szCs w:val="20"/>
          <w:color w:val="auto"/>
        </w:rPr>
      </w:pPr>
    </w:p>
    <w:p>
      <w:pPr>
        <w:ind w:right="600" w:firstLine="260"/>
        <w:spacing w:after="0" w:line="308" w:lineRule="auto"/>
        <w:rPr>
          <w:sz w:val="20"/>
          <w:szCs w:val="20"/>
          <w:color w:val="auto"/>
        </w:rPr>
      </w:pPr>
      <w:r>
        <w:rPr>
          <w:rFonts w:ascii="Arial" w:cs="Arial" w:eastAsia="Arial" w:hAnsi="Arial"/>
          <w:sz w:val="17"/>
          <w:szCs w:val="17"/>
          <w:color w:val="auto"/>
        </w:rPr>
        <w:t>As of April 2, 2005, we had product licensing agreements with 18 licensing partners relating to our men’s and women’s sportswear, men’s tailored clothing, personal wear, accessories and fragrances. The products offered by our product licensing partners are listed below.</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Licensing Partner</w:t>
            </w:r>
          </w:p>
        </w:tc>
        <w:tc>
          <w:tcPr>
            <w:tcW w:w="340" w:type="dxa"/>
            <w:vAlign w:val="bottom"/>
          </w:tcPr>
          <w:p>
            <w:pPr>
              <w:spacing w:after="0"/>
              <w:rPr>
                <w:sz w:val="14"/>
                <w:szCs w:val="14"/>
                <w:color w:val="auto"/>
              </w:rPr>
            </w:pPr>
          </w:p>
        </w:tc>
        <w:tc>
          <w:tcPr>
            <w:tcW w:w="546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Licensed Product Category</w:t>
            </w:r>
          </w:p>
        </w:tc>
      </w:tr>
      <w:tr>
        <w:trPr>
          <w:trHeight w:val="209"/>
        </w:trPr>
        <w:tc>
          <w:tcPr>
            <w:tcW w:w="5620" w:type="dxa"/>
            <w:vAlign w:val="bottom"/>
          </w:tcPr>
          <w:p>
            <w:pPr>
              <w:spacing w:after="0"/>
              <w:rPr>
                <w:sz w:val="20"/>
                <w:szCs w:val="20"/>
                <w:color w:val="auto"/>
              </w:rPr>
            </w:pPr>
            <w:r>
              <w:rPr>
                <w:rFonts w:ascii="Arial" w:cs="Arial" w:eastAsia="Arial" w:hAnsi="Arial"/>
                <w:sz w:val="18"/>
                <w:szCs w:val="18"/>
                <w:color w:val="auto"/>
              </w:rPr>
              <w:t>L’Oreal S.A./ Cosmair, Inc.</w:t>
            </w:r>
          </w:p>
        </w:tc>
        <w:tc>
          <w:tcPr>
            <w:tcW w:w="3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Men’s and Women’s Fragrances and Skin Care Products</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Jones Apparel Group, Inc.</w:t>
            </w:r>
          </w:p>
        </w:tc>
        <w:tc>
          <w:tcPr>
            <w:tcW w:w="3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Men’s and Women’s Polo Jeans Casual Apparel and Sportswear</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Carole Hochman Design</w:t>
            </w:r>
          </w:p>
        </w:tc>
        <w:tc>
          <w:tcPr>
            <w:tcW w:w="3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Women’s Sleepwear, Loungewear, Robes and Daywear</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Corneliani S.P.A</w:t>
            </w:r>
          </w:p>
        </w:tc>
        <w:tc>
          <w:tcPr>
            <w:tcW w:w="3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Men’s Polo Tailored Clothing</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Peerless, Inc</w:t>
            </w:r>
          </w:p>
        </w:tc>
        <w:tc>
          <w:tcPr>
            <w:tcW w:w="3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Men’s, Chaps and Lauren Tailored Clothing</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Sara Lee Corporation</w:t>
            </w:r>
          </w:p>
        </w:tc>
        <w:tc>
          <w:tcPr>
            <w:tcW w:w="3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4"/>
              </w:rPr>
              <w:t>Men’s Polo Ralph Lauren and Chaps Personal Wear Apparel and Chaps</w:t>
            </w:r>
          </w:p>
        </w:tc>
      </w:tr>
      <w:tr>
        <w:trPr>
          <w:trHeight w:val="216"/>
        </w:trPr>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Hosiery for Mens and Boys</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Reebok International, Inc.</w:t>
            </w:r>
          </w:p>
        </w:tc>
        <w:tc>
          <w:tcPr>
            <w:tcW w:w="3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5"/>
              </w:rPr>
              <w:t>Men’s, Women’s, Boy’s, Girl’s, Infants and Toddlers Footwear — Dress,</w:t>
            </w:r>
          </w:p>
        </w:tc>
      </w:tr>
      <w:tr>
        <w:trPr>
          <w:trHeight w:val="216"/>
        </w:trPr>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Casual and Performance Athletic Footwear</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Wathne</w:t>
            </w:r>
          </w:p>
        </w:tc>
        <w:tc>
          <w:tcPr>
            <w:tcW w:w="3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Handbags and Luggage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Hot Sox, Inc.</w:t>
            </w:r>
          </w:p>
        </w:tc>
        <w:tc>
          <w:tcPr>
            <w:tcW w:w="3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9"/>
              </w:rPr>
              <w:t>Men’s and Boy’s Polo Ralph Lauren and Women’s Ralph Lauren and</w:t>
            </w:r>
          </w:p>
        </w:tc>
      </w:tr>
      <w:tr>
        <w:trPr>
          <w:trHeight w:val="216"/>
        </w:trPr>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Lauren, and Boy’s Hosiery</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New Campaign, Inc.</w:t>
            </w:r>
          </w:p>
        </w:tc>
        <w:tc>
          <w:tcPr>
            <w:tcW w:w="3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5"/>
              </w:rPr>
              <w:t>Chaps, Ralph Lauren and Lauren Belts and Other Small Leather Goods</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Echo Scarves, Inc.</w:t>
            </w:r>
          </w:p>
        </w:tc>
        <w:tc>
          <w:tcPr>
            <w:tcW w:w="3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3"/>
              </w:rPr>
              <w:t>Men’s Polo Ralph Lauren and Polo Jeans Company and Women’s Ralph</w:t>
            </w:r>
          </w:p>
        </w:tc>
      </w:tr>
      <w:tr>
        <w:trPr>
          <w:trHeight w:val="216"/>
        </w:trPr>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Lauren and Lauren Scarves and Gloves</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Retail Brand Alliance, Inc. (successor to Carolee, Inc.)</w:t>
            </w:r>
          </w:p>
        </w:tc>
        <w:tc>
          <w:tcPr>
            <w:tcW w:w="3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Lauren Women’s Jewelry</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Safilo USA, Inc.</w:t>
            </w:r>
          </w:p>
        </w:tc>
        <w:tc>
          <w:tcPr>
            <w:tcW w:w="3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Eyewear</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The Warnaco Group, Inc.</w:t>
            </w:r>
          </w:p>
        </w:tc>
        <w:tc>
          <w:tcPr>
            <w:tcW w:w="3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Men’s Chaps Sportswear</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Apparel Ventures, Inc.</w:t>
            </w:r>
          </w:p>
        </w:tc>
        <w:tc>
          <w:tcPr>
            <w:tcW w:w="3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Women’s Swimwear</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Philips Van-Heusen</w:t>
            </w:r>
          </w:p>
        </w:tc>
        <w:tc>
          <w:tcPr>
            <w:tcW w:w="3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Men’s Chaps Dress Shirts</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Randa Corp</w:t>
            </w:r>
          </w:p>
        </w:tc>
        <w:tc>
          <w:tcPr>
            <w:tcW w:w="3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Men’s Chaps Ties</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Bandanco Enterprise, Inc. (Champlain)</w:t>
            </w:r>
          </w:p>
        </w:tc>
        <w:tc>
          <w:tcPr>
            <w:tcW w:w="34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Men’s Chaps Luggage</w:t>
            </w:r>
          </w:p>
        </w:tc>
      </w:tr>
    </w:tbl>
    <w:p>
      <w:pPr>
        <w:spacing w:after="0" w:line="94" w:lineRule="exact"/>
        <w:rPr>
          <w:sz w:val="20"/>
          <w:szCs w:val="20"/>
          <w:color w:val="auto"/>
        </w:rPr>
      </w:pPr>
    </w:p>
    <w:p>
      <w:pPr>
        <w:ind w:right="120" w:firstLine="260"/>
        <w:spacing w:after="0" w:line="264" w:lineRule="auto"/>
        <w:rPr>
          <w:sz w:val="20"/>
          <w:szCs w:val="20"/>
          <w:color w:val="auto"/>
        </w:rPr>
      </w:pPr>
      <w:r>
        <w:rPr>
          <w:rFonts w:ascii="Arial" w:cs="Arial" w:eastAsia="Arial" w:hAnsi="Arial"/>
          <w:sz w:val="18"/>
          <w:szCs w:val="18"/>
          <w:color w:val="auto"/>
        </w:rPr>
        <w:t>As described previously under the caption “Recent Developments,” we acquired certain assets and liabilities of RL Childrenswear, LLC, our former Childrenswear licensee for North America, in July 2004, and we have agreed to acquire Ralph Lauren Footwear Co., our global licensee for men’s, women’s and children’s footwear.</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International Licenses</w:t>
      </w:r>
    </w:p>
    <w:p>
      <w:pPr>
        <w:spacing w:after="0" w:line="117" w:lineRule="exact"/>
        <w:rPr>
          <w:sz w:val="20"/>
          <w:szCs w:val="20"/>
          <w:color w:val="auto"/>
        </w:rPr>
      </w:pPr>
    </w:p>
    <w:p>
      <w:pPr>
        <w:ind w:right="600" w:firstLine="267"/>
        <w:spacing w:after="0" w:line="277" w:lineRule="auto"/>
        <w:rPr>
          <w:sz w:val="20"/>
          <w:szCs w:val="20"/>
          <w:color w:val="auto"/>
        </w:rPr>
      </w:pPr>
      <w:r>
        <w:rPr>
          <w:rFonts w:ascii="Arial" w:cs="Arial" w:eastAsia="Arial" w:hAnsi="Arial"/>
          <w:sz w:val="18"/>
          <w:szCs w:val="18"/>
          <w:color w:val="auto"/>
        </w:rPr>
        <w:t>We believe that international markets offer additional opportunities for our quintessential American designs and lifestyle image. We work with our international licensing partners to facilitate international expansion. International expansion opportunities may include:</w:t>
      </w:r>
    </w:p>
    <w:p>
      <w:pPr>
        <w:spacing w:after="0" w:line="62" w:lineRule="exact"/>
        <w:rPr>
          <w:sz w:val="20"/>
          <w:szCs w:val="20"/>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roll out of new products and brands following their launch in the U.S.,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introduction of additional product lines,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entrance into new international markets,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addition of Ralph Lauren or Polo Ralph Lauren stores in these markets.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April 2, 2005, we had agreements with six international licensing partners (excluding Ralph Lauren Home licenses):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Licensing Partner</w:t>
            </w:r>
          </w:p>
        </w:tc>
        <w:tc>
          <w:tcPr>
            <w:tcW w:w="340" w:type="dxa"/>
            <w:vAlign w:val="bottom"/>
          </w:tcPr>
          <w:p>
            <w:pPr>
              <w:spacing w:after="0"/>
              <w:rPr>
                <w:sz w:val="14"/>
                <w:szCs w:val="14"/>
                <w:color w:val="auto"/>
              </w:rPr>
            </w:pPr>
          </w:p>
        </w:tc>
        <w:tc>
          <w:tcPr>
            <w:tcW w:w="536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Territory</w:t>
            </w:r>
          </w:p>
        </w:tc>
      </w:tr>
      <w:tr>
        <w:trPr>
          <w:trHeight w:val="209"/>
        </w:trPr>
        <w:tc>
          <w:tcPr>
            <w:tcW w:w="5720" w:type="dxa"/>
            <w:vAlign w:val="bottom"/>
          </w:tcPr>
          <w:p>
            <w:pPr>
              <w:spacing w:after="0"/>
              <w:rPr>
                <w:sz w:val="20"/>
                <w:szCs w:val="20"/>
                <w:color w:val="auto"/>
              </w:rPr>
            </w:pPr>
            <w:r>
              <w:rPr>
                <w:rFonts w:ascii="Arial" w:cs="Arial" w:eastAsia="Arial" w:hAnsi="Arial"/>
                <w:sz w:val="18"/>
                <w:szCs w:val="18"/>
                <w:color w:val="auto"/>
              </w:rPr>
              <w:t>Oroton Group/ PRL Australia</w:t>
            </w:r>
          </w:p>
        </w:tc>
        <w:tc>
          <w:tcPr>
            <w:tcW w:w="3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Australia and New Zealand</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Doosan Corporation</w:t>
            </w:r>
          </w:p>
        </w:tc>
        <w:tc>
          <w:tcPr>
            <w:tcW w:w="3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Korea</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P.R.L. Enterprises, S.A.</w:t>
            </w:r>
          </w:p>
        </w:tc>
        <w:tc>
          <w:tcPr>
            <w:tcW w:w="3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3"/>
              </w:rPr>
              <w:t>Panama, Aruba, Curacao, The Cayman Islands, Costa Rica, Nicaragua,</w:t>
            </w:r>
          </w:p>
        </w:tc>
      </w:tr>
      <w:tr>
        <w:trPr>
          <w:trHeight w:val="216"/>
        </w:trPr>
        <w:tc>
          <w:tcPr>
            <w:tcW w:w="5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3"/>
              </w:rPr>
              <w:t>Honduras, El Salvador, Guatemala, Belize, Colombia, Ecuador, Bolivia,</w:t>
            </w:r>
          </w:p>
        </w:tc>
      </w:tr>
      <w:tr>
        <w:trPr>
          <w:trHeight w:val="216"/>
        </w:trPr>
        <w:tc>
          <w:tcPr>
            <w:tcW w:w="5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Peru, Antigua, Barbados, Bonaire, Dominican Republic, St. Lucia,</w:t>
            </w:r>
          </w:p>
        </w:tc>
      </w:tr>
      <w:tr>
        <w:trPr>
          <w:trHeight w:val="216"/>
        </w:trPr>
        <w:tc>
          <w:tcPr>
            <w:tcW w:w="5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Trinidad and Tobago</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Dickson Concepts/ PRL Hong Kong</w:t>
            </w:r>
          </w:p>
        </w:tc>
        <w:tc>
          <w:tcPr>
            <w:tcW w:w="3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Hong Kong, China, Philippines, Malaysia, Singapore, Taiwan and</w:t>
            </w:r>
          </w:p>
        </w:tc>
      </w:tr>
      <w:tr>
        <w:trPr>
          <w:trHeight w:val="216"/>
        </w:trPr>
        <w:tc>
          <w:tcPr>
            <w:tcW w:w="5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Thailand</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Impact21</w:t>
            </w:r>
          </w:p>
        </w:tc>
        <w:tc>
          <w:tcPr>
            <w:tcW w:w="3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Japan</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Commercial Madison/ PRL Chile</w:t>
            </w:r>
          </w:p>
        </w:tc>
        <w:tc>
          <w:tcPr>
            <w:tcW w:w="3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Chile</w:t>
            </w:r>
          </w:p>
        </w:tc>
      </w:tr>
    </w:tbl>
    <w:p>
      <w:pPr>
        <w:spacing w:after="0" w:line="94" w:lineRule="exact"/>
        <w:rPr>
          <w:sz w:val="20"/>
          <w:szCs w:val="20"/>
          <w:color w:val="auto"/>
        </w:rPr>
      </w:pPr>
    </w:p>
    <w:p>
      <w:pPr>
        <w:ind w:right="100" w:firstLine="270"/>
        <w:spacing w:after="0" w:line="279" w:lineRule="auto"/>
        <w:rPr>
          <w:sz w:val="20"/>
          <w:szCs w:val="20"/>
          <w:color w:val="auto"/>
        </w:rPr>
      </w:pPr>
      <w:r>
        <w:rPr>
          <w:rFonts w:ascii="Arial" w:cs="Arial" w:eastAsia="Arial" w:hAnsi="Arial"/>
          <w:sz w:val="17"/>
          <w:szCs w:val="17"/>
          <w:color w:val="auto"/>
        </w:rPr>
        <w:t>Our international licensing partners acquire the right to source, produce, market and/or sell some or all of our products in a given geographic area. Economic arrangements are similar to those of our domestic product licensing partners. We design licensed products either alone or in collaboration with our domestic licensing partners. Domestic licensees generally provide international licensing partners with product or patterns, piece goods, manufacturing locations and other information and assistance necessary to achieve product uniformity, for which they are often compensated.</w:t>
      </w:r>
    </w:p>
    <w:p>
      <w:pPr>
        <w:spacing w:after="0" w:line="63"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International licensing partners also operate stores. At April 2, 2005, they operated 44 Polo Ralph Lauren stores, 32 Polo Jeans stores, 2 Children’s stores, 10 Ralph Lauren stores and 10 Polo outlet stores. These stores are located in Korea, Japan, Australia, New Zealand, Taiwan, Hong Kong, China, Singapore, Malaysia, the Philippines as well as much of South America and the Caribbean. Approximately 12.1% of our licensing revenue in Fiscal 2005 was derived from one international licensing partner, Impact21.</w:t>
      </w:r>
    </w:p>
    <w:p>
      <w:pPr>
        <w:spacing w:after="0" w:line="79" w:lineRule="exact"/>
        <w:rPr>
          <w:sz w:val="20"/>
          <w:szCs w:val="20"/>
          <w:color w:val="auto"/>
        </w:rPr>
      </w:pPr>
    </w:p>
    <w:p>
      <w:pPr>
        <w:ind w:right="280" w:firstLine="270"/>
        <w:spacing w:after="0" w:line="264" w:lineRule="auto"/>
        <w:rPr>
          <w:sz w:val="20"/>
          <w:szCs w:val="20"/>
          <w:color w:val="auto"/>
        </w:rPr>
      </w:pPr>
      <w:r>
        <w:rPr>
          <w:rFonts w:ascii="Arial" w:cs="Arial" w:eastAsia="Arial" w:hAnsi="Arial"/>
          <w:sz w:val="18"/>
          <w:szCs w:val="18"/>
          <w:color w:val="auto"/>
        </w:rPr>
        <w:t>Our ability to maintain and increase royalties under foreign licenses is dependent upon certain factors not within our control, including fluctuating currency rates, currency controls, withholding requirements levied on royalty payments, governmental restrictions on royalty rates, political instability and local market conditions.</w:t>
      </w:r>
    </w:p>
    <w:p>
      <w:pPr>
        <w:spacing w:after="0" w:line="73" w:lineRule="exact"/>
        <w:rPr>
          <w:sz w:val="20"/>
          <w:szCs w:val="20"/>
          <w:color w:val="auto"/>
        </w:rPr>
      </w:pPr>
    </w:p>
    <w:p>
      <w:pPr>
        <w:ind w:right="420" w:firstLine="270"/>
        <w:spacing w:after="0" w:line="277" w:lineRule="auto"/>
        <w:rPr>
          <w:sz w:val="20"/>
          <w:szCs w:val="20"/>
          <w:color w:val="auto"/>
        </w:rPr>
      </w:pPr>
      <w:r>
        <w:rPr>
          <w:rFonts w:ascii="Arial" w:cs="Arial" w:eastAsia="Arial" w:hAnsi="Arial"/>
          <w:sz w:val="18"/>
          <w:szCs w:val="18"/>
          <w:color w:val="auto"/>
        </w:rPr>
        <w:t>See “Risk Factors — Risks Related to Our Business — Our business is exposed to domestic and foreign currency fluctuations” and “Risk Factors — Risks Related to Our Business — Our business is subject to risks associated with importing products.”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Ralph Lauren Home</w:t>
      </w:r>
    </w:p>
    <w:p>
      <w:pPr>
        <w:spacing w:after="0" w:line="117" w:lineRule="exact"/>
        <w:rPr>
          <w:sz w:val="20"/>
          <w:szCs w:val="20"/>
          <w:color w:val="auto"/>
        </w:rPr>
      </w:pPr>
    </w:p>
    <w:p>
      <w:pPr>
        <w:ind w:right="20" w:firstLine="267"/>
        <w:spacing w:after="0" w:line="259" w:lineRule="auto"/>
        <w:rPr>
          <w:sz w:val="20"/>
          <w:szCs w:val="20"/>
          <w:color w:val="auto"/>
        </w:rPr>
      </w:pPr>
      <w:r>
        <w:rPr>
          <w:rFonts w:ascii="Arial" w:cs="Arial" w:eastAsia="Arial" w:hAnsi="Arial"/>
          <w:sz w:val="18"/>
          <w:szCs w:val="18"/>
          <w:color w:val="auto"/>
        </w:rPr>
        <w:t>Together with our licensing partners, we offer an extensive collection of home products that draw upon, and add to, the design themes of our other product lines, contributing to our complete lifestyle concept. Products are sold under the Ralph Lauren Home and Lauren Ralph Lauren brands in three primary categories: bedding and bath, home décor and home improvement. As of April 2, 2005, we had agreements with eight domestic and two international home product licensing partners.</w:t>
      </w:r>
    </w:p>
    <w:p>
      <w:pPr>
        <w:spacing w:after="0" w:line="79" w:lineRule="exact"/>
        <w:rPr>
          <w:sz w:val="20"/>
          <w:szCs w:val="20"/>
          <w:color w:val="auto"/>
        </w:rPr>
      </w:pPr>
    </w:p>
    <w:p>
      <w:pPr>
        <w:ind w:right="60" w:firstLine="267"/>
        <w:spacing w:after="0" w:line="302" w:lineRule="auto"/>
        <w:rPr>
          <w:sz w:val="20"/>
          <w:szCs w:val="20"/>
          <w:color w:val="auto"/>
        </w:rPr>
      </w:pPr>
      <w:r>
        <w:rPr>
          <w:rFonts w:ascii="Arial" w:cs="Arial" w:eastAsia="Arial" w:hAnsi="Arial"/>
          <w:sz w:val="16"/>
          <w:szCs w:val="16"/>
          <w:color w:val="auto"/>
        </w:rPr>
        <w:t>We perform a broader range of services for our Ralph Lauren Home licensing partners than we do for our other licensing partners. The services we perform include design, operating showrooms, marketing, advertising and, in some cases, sales. As a result, we receive a higher average royalty rate from our Ralph Lauren Home collection licensing partners, typically ranging from 15.0% to 17.0%. In general, the licensing partners manufacture, own the inventory and ship the products. Our Ralph Lauren Home licensing alliances generally have 3 to 5 year terms and may grant the licensee conditional renewal options.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270"/>
        <w:spacing w:after="0" w:line="259" w:lineRule="auto"/>
        <w:rPr>
          <w:sz w:val="20"/>
          <w:szCs w:val="20"/>
          <w:color w:val="auto"/>
        </w:rPr>
      </w:pPr>
      <w:r>
        <w:rPr>
          <w:rFonts w:ascii="Arial" w:cs="Arial" w:eastAsia="Arial" w:hAnsi="Arial"/>
          <w:sz w:val="18"/>
          <w:szCs w:val="18"/>
          <w:color w:val="auto"/>
        </w:rPr>
        <w:t>Ralph Lauren Home products are positioned at the upper tiers of their respective markets and are offered at a range of price levels. These products are generally distributed through several channels of distribution, including department stores, specialty home furnishings stores, interior design showrooms, customer direct mail catalogs, home centers and the Internet. As with our other products, the use of shop-within-shops is central to our department store distribution strategy.</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Ralph Lauren Home and Lauren Ralph Lauren home products offered by us and our domestic licensing partners are: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Category</w:t>
            </w:r>
          </w:p>
        </w:tc>
        <w:tc>
          <w:tcPr>
            <w:tcW w:w="360" w:type="dxa"/>
            <w:vAlign w:val="bottom"/>
          </w:tcPr>
          <w:p>
            <w:pPr>
              <w:spacing w:after="0"/>
              <w:rPr>
                <w:sz w:val="14"/>
                <w:szCs w:val="14"/>
                <w:color w:val="auto"/>
              </w:rPr>
            </w:pPr>
          </w:p>
        </w:tc>
        <w:tc>
          <w:tcPr>
            <w:tcW w:w="376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Product</w:t>
            </w:r>
          </w:p>
        </w:tc>
        <w:tc>
          <w:tcPr>
            <w:tcW w:w="340" w:type="dxa"/>
            <w:vAlign w:val="bottom"/>
          </w:tcPr>
          <w:p>
            <w:pPr>
              <w:spacing w:after="0"/>
              <w:rPr>
                <w:sz w:val="14"/>
                <w:szCs w:val="14"/>
                <w:color w:val="auto"/>
              </w:rPr>
            </w:pPr>
          </w:p>
        </w:tc>
        <w:tc>
          <w:tcPr>
            <w:tcW w:w="330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Licensing Partner</w:t>
            </w:r>
          </w:p>
        </w:tc>
      </w:tr>
      <w:tr>
        <w:trPr>
          <w:trHeight w:val="209"/>
        </w:trPr>
        <w:tc>
          <w:tcPr>
            <w:tcW w:w="3660" w:type="dxa"/>
            <w:vAlign w:val="bottom"/>
          </w:tcPr>
          <w:p>
            <w:pPr>
              <w:spacing w:after="0"/>
              <w:rPr>
                <w:sz w:val="20"/>
                <w:szCs w:val="20"/>
                <w:color w:val="auto"/>
              </w:rPr>
            </w:pPr>
            <w:r>
              <w:rPr>
                <w:rFonts w:ascii="Arial" w:cs="Arial" w:eastAsia="Arial" w:hAnsi="Arial"/>
                <w:sz w:val="18"/>
                <w:szCs w:val="18"/>
                <w:color w:val="auto"/>
              </w:rPr>
              <w:t>Bedding and Bath</w:t>
            </w:r>
          </w:p>
        </w:tc>
        <w:tc>
          <w:tcPr>
            <w:tcW w:w="3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96"/>
              </w:rPr>
              <w:t>Sheets, bedding accessories, towels and shower</w:t>
            </w:r>
          </w:p>
        </w:tc>
        <w:tc>
          <w:tcPr>
            <w:tcW w:w="3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WestPoint Stevens, Inc.</w:t>
            </w:r>
          </w:p>
        </w:tc>
      </w:tr>
      <w:tr>
        <w:trPr>
          <w:trHeight w:val="216"/>
        </w:trPr>
        <w:tc>
          <w:tcPr>
            <w:tcW w:w="3660" w:type="dxa"/>
            <w:vAlign w:val="bottom"/>
          </w:tcPr>
          <w:p>
            <w:pPr>
              <w:spacing w:after="0"/>
              <w:rPr>
                <w:sz w:val="18"/>
                <w:szCs w:val="18"/>
                <w:color w:val="auto"/>
              </w:rPr>
            </w:pPr>
          </w:p>
        </w:tc>
        <w:tc>
          <w:tcPr>
            <w:tcW w:w="4120" w:type="dxa"/>
            <w:vAlign w:val="bottom"/>
            <w:gridSpan w:val="2"/>
          </w:tcPr>
          <w:p>
            <w:pPr>
              <w:ind w:left="360"/>
              <w:spacing w:after="0"/>
              <w:rPr>
                <w:sz w:val="20"/>
                <w:szCs w:val="20"/>
                <w:color w:val="auto"/>
              </w:rPr>
            </w:pPr>
            <w:r>
              <w:rPr>
                <w:rFonts w:ascii="Arial" w:cs="Arial" w:eastAsia="Arial" w:hAnsi="Arial"/>
                <w:sz w:val="18"/>
                <w:szCs w:val="18"/>
                <w:color w:val="auto"/>
              </w:rPr>
              <w:t>curtains, blankets, down comforters, other</w:t>
            </w:r>
          </w:p>
        </w:tc>
        <w:tc>
          <w:tcPr>
            <w:tcW w:w="3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Fremaux-Delorme</w:t>
            </w:r>
          </w:p>
        </w:tc>
      </w:tr>
      <w:tr>
        <w:trPr>
          <w:trHeight w:val="216"/>
        </w:trPr>
        <w:tc>
          <w:tcPr>
            <w:tcW w:w="3660" w:type="dxa"/>
            <w:vAlign w:val="bottom"/>
          </w:tcPr>
          <w:p>
            <w:pPr>
              <w:spacing w:after="0"/>
              <w:rPr>
                <w:sz w:val="18"/>
                <w:szCs w:val="18"/>
                <w:color w:val="auto"/>
              </w:rPr>
            </w:pPr>
          </w:p>
        </w:tc>
        <w:tc>
          <w:tcPr>
            <w:tcW w:w="4120" w:type="dxa"/>
            <w:vAlign w:val="bottom"/>
            <w:gridSpan w:val="2"/>
          </w:tcPr>
          <w:p>
            <w:pPr>
              <w:ind w:left="360"/>
              <w:spacing w:after="0"/>
              <w:rPr>
                <w:sz w:val="20"/>
                <w:szCs w:val="20"/>
                <w:color w:val="auto"/>
              </w:rPr>
            </w:pPr>
            <w:r>
              <w:rPr>
                <w:rFonts w:ascii="Arial" w:cs="Arial" w:eastAsia="Arial" w:hAnsi="Arial"/>
                <w:sz w:val="18"/>
                <w:szCs w:val="18"/>
                <w:color w:val="auto"/>
              </w:rPr>
              <w:t>decorative bedding and accessories</w:t>
            </w:r>
          </w:p>
        </w:tc>
        <w:tc>
          <w:tcPr>
            <w:tcW w:w="34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4120" w:type="dxa"/>
            <w:vAlign w:val="bottom"/>
            <w:gridSpan w:val="2"/>
          </w:tcPr>
          <w:p>
            <w:pPr>
              <w:ind w:left="360"/>
              <w:spacing w:after="0"/>
              <w:rPr>
                <w:sz w:val="20"/>
                <w:szCs w:val="20"/>
                <w:color w:val="auto"/>
              </w:rPr>
            </w:pPr>
            <w:r>
              <w:rPr>
                <w:rFonts w:ascii="Arial" w:cs="Arial" w:eastAsia="Arial" w:hAnsi="Arial"/>
                <w:sz w:val="18"/>
                <w:szCs w:val="18"/>
                <w:color w:val="auto"/>
              </w:rPr>
              <w:t>Bath rugs</w:t>
            </w:r>
          </w:p>
        </w:tc>
        <w:tc>
          <w:tcPr>
            <w:tcW w:w="3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Lacey Mills</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Home Décor</w:t>
            </w:r>
          </w:p>
        </w:tc>
        <w:tc>
          <w:tcPr>
            <w:tcW w:w="4120" w:type="dxa"/>
            <w:vAlign w:val="bottom"/>
            <w:gridSpan w:val="2"/>
          </w:tcPr>
          <w:p>
            <w:pPr>
              <w:ind w:left="360"/>
              <w:spacing w:after="0"/>
              <w:rPr>
                <w:sz w:val="20"/>
                <w:szCs w:val="20"/>
                <w:color w:val="auto"/>
              </w:rPr>
            </w:pPr>
            <w:r>
              <w:rPr>
                <w:rFonts w:ascii="Arial" w:cs="Arial" w:eastAsia="Arial" w:hAnsi="Arial"/>
                <w:sz w:val="18"/>
                <w:szCs w:val="18"/>
                <w:color w:val="auto"/>
              </w:rPr>
              <w:t>Fabric and wallpaper</w:t>
            </w:r>
          </w:p>
        </w:tc>
        <w:tc>
          <w:tcPr>
            <w:tcW w:w="3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 Kaufmann, Inc.</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Designers Guild Ltd.</w:t>
            </w:r>
          </w:p>
        </w:tc>
      </w:tr>
      <w:tr>
        <w:trPr>
          <w:trHeight w:val="216"/>
        </w:trPr>
        <w:tc>
          <w:tcPr>
            <w:tcW w:w="3660" w:type="dxa"/>
            <w:vAlign w:val="bottom"/>
          </w:tcPr>
          <w:p>
            <w:pPr>
              <w:spacing w:after="0"/>
              <w:rPr>
                <w:sz w:val="18"/>
                <w:szCs w:val="18"/>
                <w:color w:val="auto"/>
              </w:rPr>
            </w:pPr>
          </w:p>
        </w:tc>
        <w:tc>
          <w:tcPr>
            <w:tcW w:w="4120" w:type="dxa"/>
            <w:vAlign w:val="bottom"/>
            <w:gridSpan w:val="2"/>
          </w:tcPr>
          <w:p>
            <w:pPr>
              <w:ind w:left="360"/>
              <w:spacing w:after="0"/>
              <w:rPr>
                <w:sz w:val="20"/>
                <w:szCs w:val="20"/>
                <w:color w:val="auto"/>
              </w:rPr>
            </w:pPr>
            <w:r>
              <w:rPr>
                <w:rFonts w:ascii="Arial" w:cs="Arial" w:eastAsia="Arial" w:hAnsi="Arial"/>
                <w:sz w:val="18"/>
                <w:szCs w:val="18"/>
                <w:color w:val="auto"/>
              </w:rPr>
              <w:t>Furniture</w:t>
            </w:r>
          </w:p>
        </w:tc>
        <w:tc>
          <w:tcPr>
            <w:tcW w:w="3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Henredon Furniture Industries, Inc.</w:t>
            </w:r>
          </w:p>
        </w:tc>
      </w:tr>
      <w:tr>
        <w:trPr>
          <w:trHeight w:val="216"/>
        </w:trPr>
        <w:tc>
          <w:tcPr>
            <w:tcW w:w="3660" w:type="dxa"/>
            <w:vAlign w:val="bottom"/>
          </w:tcPr>
          <w:p>
            <w:pPr>
              <w:spacing w:after="0"/>
              <w:rPr>
                <w:sz w:val="18"/>
                <w:szCs w:val="18"/>
                <w:color w:val="auto"/>
              </w:rPr>
            </w:pPr>
          </w:p>
        </w:tc>
        <w:tc>
          <w:tcPr>
            <w:tcW w:w="4120" w:type="dxa"/>
            <w:vAlign w:val="bottom"/>
            <w:gridSpan w:val="2"/>
          </w:tcPr>
          <w:p>
            <w:pPr>
              <w:ind w:left="360"/>
              <w:spacing w:after="0"/>
              <w:rPr>
                <w:sz w:val="20"/>
                <w:szCs w:val="20"/>
                <w:color w:val="auto"/>
              </w:rPr>
            </w:pPr>
            <w:r>
              <w:rPr>
                <w:rFonts w:ascii="Arial" w:cs="Arial" w:eastAsia="Arial" w:hAnsi="Arial"/>
                <w:sz w:val="18"/>
                <w:szCs w:val="18"/>
                <w:color w:val="auto"/>
              </w:rPr>
              <w:t>Tabletop and giftware</w:t>
            </w:r>
          </w:p>
        </w:tc>
        <w:tc>
          <w:tcPr>
            <w:tcW w:w="3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Mikasa, Inc.</w:t>
            </w:r>
          </w:p>
        </w:tc>
      </w:tr>
      <w:tr>
        <w:trPr>
          <w:trHeight w:val="216"/>
        </w:trPr>
        <w:tc>
          <w:tcPr>
            <w:tcW w:w="3660" w:type="dxa"/>
            <w:vAlign w:val="bottom"/>
          </w:tcPr>
          <w:p>
            <w:pPr>
              <w:spacing w:after="0"/>
              <w:rPr>
                <w:sz w:val="18"/>
                <w:szCs w:val="18"/>
                <w:color w:val="auto"/>
              </w:rPr>
            </w:pPr>
          </w:p>
        </w:tc>
        <w:tc>
          <w:tcPr>
            <w:tcW w:w="4120" w:type="dxa"/>
            <w:vAlign w:val="bottom"/>
            <w:gridSpan w:val="2"/>
          </w:tcPr>
          <w:p>
            <w:pPr>
              <w:ind w:left="360"/>
              <w:spacing w:after="0"/>
              <w:rPr>
                <w:sz w:val="20"/>
                <w:szCs w:val="20"/>
                <w:color w:val="auto"/>
              </w:rPr>
            </w:pPr>
            <w:r>
              <w:rPr>
                <w:rFonts w:ascii="Arial" w:cs="Arial" w:eastAsia="Arial" w:hAnsi="Arial"/>
                <w:sz w:val="18"/>
                <w:szCs w:val="18"/>
                <w:color w:val="auto"/>
                <w:w w:val="96"/>
              </w:rPr>
              <w:t>Table linens, placemats, tablecloths and napkins</w:t>
            </w:r>
          </w:p>
        </w:tc>
        <w:tc>
          <w:tcPr>
            <w:tcW w:w="3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Brownstone</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Home Improvement</w:t>
            </w:r>
          </w:p>
        </w:tc>
        <w:tc>
          <w:tcPr>
            <w:tcW w:w="4120" w:type="dxa"/>
            <w:vAlign w:val="bottom"/>
            <w:gridSpan w:val="2"/>
          </w:tcPr>
          <w:p>
            <w:pPr>
              <w:ind w:left="360"/>
              <w:spacing w:after="0"/>
              <w:rPr>
                <w:sz w:val="20"/>
                <w:szCs w:val="20"/>
                <w:color w:val="auto"/>
              </w:rPr>
            </w:pPr>
            <w:r>
              <w:rPr>
                <w:rFonts w:ascii="Arial" w:cs="Arial" w:eastAsia="Arial" w:hAnsi="Arial"/>
                <w:sz w:val="18"/>
                <w:szCs w:val="18"/>
                <w:color w:val="auto"/>
              </w:rPr>
              <w:t>Interior paints and stains</w:t>
            </w:r>
          </w:p>
        </w:tc>
        <w:tc>
          <w:tcPr>
            <w:tcW w:w="3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w w:val="92"/>
              </w:rPr>
              <w:t>ICI/Glidden Company Karastan, a division of</w:t>
            </w:r>
          </w:p>
        </w:tc>
      </w:tr>
      <w:tr>
        <w:trPr>
          <w:trHeight w:val="230"/>
        </w:trPr>
        <w:tc>
          <w:tcPr>
            <w:tcW w:w="3660" w:type="dxa"/>
            <w:vAlign w:val="bottom"/>
          </w:tcPr>
          <w:p>
            <w:pPr>
              <w:spacing w:after="0"/>
              <w:rPr>
                <w:sz w:val="20"/>
                <w:szCs w:val="20"/>
                <w:color w:val="auto"/>
              </w:rPr>
            </w:pPr>
          </w:p>
        </w:tc>
        <w:tc>
          <w:tcPr>
            <w:tcW w:w="4120" w:type="dxa"/>
            <w:vAlign w:val="bottom"/>
            <w:gridSpan w:val="2"/>
          </w:tcPr>
          <w:p>
            <w:pPr>
              <w:ind w:left="360"/>
              <w:spacing w:after="0"/>
              <w:rPr>
                <w:sz w:val="20"/>
                <w:szCs w:val="20"/>
                <w:color w:val="auto"/>
              </w:rPr>
            </w:pPr>
            <w:r>
              <w:rPr>
                <w:rFonts w:ascii="Arial" w:cs="Arial" w:eastAsia="Arial" w:hAnsi="Arial"/>
                <w:sz w:val="18"/>
                <w:szCs w:val="18"/>
                <w:color w:val="auto"/>
              </w:rPr>
              <w:t>Broadloom carpets and area rugs</w:t>
            </w:r>
          </w:p>
        </w:tc>
        <w:tc>
          <w:tcPr>
            <w:tcW w:w="34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Mohawk Carpet Corporation</w:t>
            </w:r>
          </w:p>
        </w:tc>
      </w:tr>
    </w:tbl>
    <w:p>
      <w:pPr>
        <w:spacing w:after="0" w:line="94" w:lineRule="exact"/>
        <w:rPr>
          <w:sz w:val="20"/>
          <w:szCs w:val="20"/>
          <w:color w:val="auto"/>
        </w:rPr>
      </w:pPr>
    </w:p>
    <w:p>
      <w:pPr>
        <w:ind w:right="80" w:firstLine="267"/>
        <w:spacing w:after="0" w:line="259" w:lineRule="auto"/>
        <w:rPr>
          <w:sz w:val="20"/>
          <w:szCs w:val="20"/>
          <w:color w:val="auto"/>
        </w:rPr>
      </w:pPr>
      <w:r>
        <w:rPr>
          <w:rFonts w:ascii="Arial" w:cs="Arial" w:eastAsia="Arial" w:hAnsi="Arial"/>
          <w:sz w:val="18"/>
          <w:szCs w:val="18"/>
          <w:color w:val="auto"/>
        </w:rPr>
        <w:t>WestPoint Stevens, Inc. offers a basic stock replenishment program that includes bath and bedding products and accounted for approximately 14.2% of their net sales of Ralph Lauren Home products in Fiscal 2005. WestPoint Stevens, Inc. accounted for approximately 64.1% of total Ralph Lauren Home licensing revenue in Fiscal 2005. See “Recent Developments” and “Risk Factors — Risks Related to Our Business — Our business could suffer as a result of consolidations, restructurings and other ownership changes in the retail industry.”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w:t>
      </w:r>
    </w:p>
    <w:p>
      <w:pPr>
        <w:spacing w:after="0" w:line="121" w:lineRule="exact"/>
        <w:rPr>
          <w:sz w:val="20"/>
          <w:szCs w:val="20"/>
          <w:color w:val="auto"/>
        </w:rPr>
      </w:pPr>
    </w:p>
    <w:p>
      <w:pPr>
        <w:ind w:right="40" w:firstLine="270"/>
        <w:spacing w:after="0" w:line="342" w:lineRule="auto"/>
        <w:rPr>
          <w:sz w:val="20"/>
          <w:szCs w:val="20"/>
          <w:color w:val="auto"/>
        </w:rPr>
      </w:pPr>
      <w:r>
        <w:rPr>
          <w:rFonts w:ascii="Arial" w:cs="Arial" w:eastAsia="Arial" w:hAnsi="Arial"/>
          <w:sz w:val="16"/>
          <w:szCs w:val="16"/>
          <w:color w:val="auto"/>
        </w:rPr>
        <w:t>Our products reflect a timeless and innovative American style associated with and defined by Ralph Lauren and our design team. Our consistent emphasis on innovative and distinctive design has been an important contributor to the prominence, strength and reputation of the Ralph Lauren brands.</w:t>
      </w:r>
    </w:p>
    <w:p>
      <w:pPr>
        <w:spacing w:after="0" w:line="16" w:lineRule="exact"/>
        <w:rPr>
          <w:sz w:val="20"/>
          <w:szCs w:val="20"/>
          <w:color w:val="auto"/>
        </w:rPr>
      </w:pPr>
    </w:p>
    <w:p>
      <w:pPr>
        <w:ind w:right="440" w:firstLine="260"/>
        <w:spacing w:after="0" w:line="302" w:lineRule="auto"/>
        <w:rPr>
          <w:sz w:val="20"/>
          <w:szCs w:val="20"/>
          <w:color w:val="auto"/>
        </w:rPr>
      </w:pPr>
      <w:r>
        <w:rPr>
          <w:rFonts w:ascii="Arial" w:cs="Arial" w:eastAsia="Arial" w:hAnsi="Arial"/>
          <w:sz w:val="16"/>
          <w:szCs w:val="16"/>
          <w:color w:val="auto"/>
        </w:rPr>
        <w:t>All Ralph Lauren products are designed by, or under the direction of, Ralph Lauren and our design staff, which is divided into seven departments: Menswear, Womenswear, Lauren, Children’s, Accessories, Home and Club Monaco. We form design teams around our brands and product categories to develop concepts, themes and products for each brand or category. These teams support all three segments of our business — wholesale, retail and licensing — through close collaboration with merchandising, sales and production staff and licensing partners in order to gain market and other input.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121" w:lineRule="exact"/>
        <w:rPr>
          <w:sz w:val="20"/>
          <w:szCs w:val="20"/>
          <w:color w:val="auto"/>
        </w:rPr>
      </w:pPr>
    </w:p>
    <w:p>
      <w:pPr>
        <w:ind w:right="320" w:firstLine="270"/>
        <w:spacing w:after="0" w:line="342" w:lineRule="auto"/>
        <w:rPr>
          <w:sz w:val="20"/>
          <w:szCs w:val="20"/>
          <w:color w:val="auto"/>
        </w:rPr>
      </w:pPr>
      <w:r>
        <w:rPr>
          <w:rFonts w:ascii="Arial" w:cs="Arial" w:eastAsia="Arial" w:hAnsi="Arial"/>
          <w:sz w:val="16"/>
          <w:szCs w:val="16"/>
          <w:color w:val="auto"/>
        </w:rPr>
        <w:t>Our marketing program communicates the themes and images of our brands and is an integral feature of our product offering. Worldwide marketing is managed on a centralized basis through our advertising and public relations departments in order to ensure consistency of presentation.</w:t>
      </w:r>
    </w:p>
    <w:p>
      <w:pPr>
        <w:spacing w:after="0" w:line="16" w:lineRule="exact"/>
        <w:rPr>
          <w:sz w:val="20"/>
          <w:szCs w:val="20"/>
          <w:color w:val="auto"/>
        </w:rPr>
      </w:pPr>
    </w:p>
    <w:p>
      <w:pPr>
        <w:ind w:right="360" w:firstLine="267"/>
        <w:spacing w:after="0" w:line="286" w:lineRule="auto"/>
        <w:rPr>
          <w:sz w:val="20"/>
          <w:szCs w:val="20"/>
          <w:color w:val="auto"/>
        </w:rPr>
      </w:pPr>
      <w:r>
        <w:rPr>
          <w:rFonts w:ascii="Arial" w:cs="Arial" w:eastAsia="Arial" w:hAnsi="Arial"/>
          <w:sz w:val="17"/>
          <w:szCs w:val="17"/>
          <w:color w:val="auto"/>
        </w:rPr>
        <w:t>We create distinctive image advertising for all our products, conveying the particular message of each brand within the context of our core themes. Advertisements generally portray a lifestyle rather than a specific item and often include a variety of products offered by both ourselves and our licensing partners. Our primary advertising medium is print, with multiple page advertisements appearing regularly in a range of fashion,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lifestyle and general interest magazines. Major print advertising campaigns are conducted during the fall and spring retail seasons, with additions throughout the year to coincide with product deliveries. In addition to print, some product categories have utilized television and outdoor media in their marketing programs for certain product categories.</w:t>
      </w:r>
    </w:p>
    <w:p>
      <w:pPr>
        <w:spacing w:after="0" w:line="73" w:lineRule="exact"/>
        <w:rPr>
          <w:sz w:val="20"/>
          <w:szCs w:val="20"/>
          <w:color w:val="auto"/>
        </w:rPr>
      </w:pPr>
    </w:p>
    <w:p>
      <w:pPr>
        <w:jc w:val="both"/>
        <w:ind w:right="40" w:firstLine="270"/>
        <w:spacing w:after="0" w:line="264" w:lineRule="auto"/>
        <w:rPr>
          <w:sz w:val="20"/>
          <w:szCs w:val="20"/>
          <w:color w:val="auto"/>
        </w:rPr>
      </w:pPr>
      <w:r>
        <w:rPr>
          <w:rFonts w:ascii="Arial" w:cs="Arial" w:eastAsia="Arial" w:hAnsi="Arial"/>
          <w:sz w:val="18"/>
          <w:szCs w:val="18"/>
          <w:color w:val="auto"/>
        </w:rPr>
        <w:t>In general, three to four percent of licensing related sales are spent for advertising. We directly coordinate advertising placement for our domestic product licensing partners. Together with our licensing partners, we collectively spent more than $200 million worldwide to advertise and promote Polo Ralph Lauren products in Fiscal 2005.</w:t>
      </w:r>
    </w:p>
    <w:p>
      <w:pPr>
        <w:spacing w:after="0" w:line="73" w:lineRule="exact"/>
        <w:rPr>
          <w:sz w:val="20"/>
          <w:szCs w:val="20"/>
          <w:color w:val="auto"/>
        </w:rPr>
      </w:pPr>
    </w:p>
    <w:p>
      <w:pPr>
        <w:ind w:right="120" w:firstLine="267"/>
        <w:spacing w:after="0" w:line="259" w:lineRule="auto"/>
        <w:rPr>
          <w:sz w:val="20"/>
          <w:szCs w:val="20"/>
          <w:color w:val="auto"/>
        </w:rPr>
      </w:pPr>
      <w:r>
        <w:rPr>
          <w:rFonts w:ascii="Arial" w:cs="Arial" w:eastAsia="Arial" w:hAnsi="Arial"/>
          <w:sz w:val="18"/>
          <w:szCs w:val="18"/>
          <w:color w:val="auto"/>
        </w:rPr>
        <w:t>We also conduct a variety of public relations activities. Each of our spring and fall womenswear collections are presented at major fashion shows in New York, which typically generate extensive domestic and international media coverage. We introduce each of the spring and fall menswear collections at major fashion shows in cities such as New York or Milan, Italy. In addition, we organize in-store appearances by our models and sponsors, professional golfers, snowboarders, triathletes and sports teams.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Sourcing, Production and Quality</w:t>
      </w:r>
    </w:p>
    <w:p>
      <w:pPr>
        <w:spacing w:after="0" w:line="121" w:lineRule="exact"/>
        <w:rPr>
          <w:sz w:val="20"/>
          <w:szCs w:val="20"/>
          <w:color w:val="auto"/>
        </w:rPr>
      </w:pPr>
    </w:p>
    <w:p>
      <w:pPr>
        <w:ind w:firstLine="270"/>
        <w:spacing w:after="0" w:line="272" w:lineRule="auto"/>
        <w:rPr>
          <w:sz w:val="20"/>
          <w:szCs w:val="20"/>
          <w:color w:val="auto"/>
        </w:rPr>
      </w:pPr>
      <w:r>
        <w:rPr>
          <w:rFonts w:ascii="Arial" w:cs="Arial" w:eastAsia="Arial" w:hAnsi="Arial"/>
          <w:sz w:val="17"/>
          <w:szCs w:val="17"/>
          <w:color w:val="auto"/>
        </w:rPr>
        <w:t>Over 270 different manufacturers worldwide produce our apparel products. We source both finished products and raw materials. Raw materials include fabric, buttons and other trim and are sourced primarily with respect to our collection brands. Finished products consist of manufactured and fully assembled products ready for shipment to our customers. We contract for the manufacture of our products and do not own or operate any production facilities of our own. As part of our efforts to reduce costs and enhance the efficiency of our sourcing process, we have shifted a substantial portion of our sourcing to foreign suppliers. In Fiscal 2005, less than 2%, by dollar volume, of our products were produced in the United States, and over 98%, by dollar volume, were produced outside the U.S., primarily in Asia, Europe and South America. See “Government Regulations” and “Risk Factors — Risks Related to Our Business — Our business is subject to government regulations and other risks associated with importing products.”</w:t>
      </w:r>
    </w:p>
    <w:p>
      <w:pPr>
        <w:spacing w:after="0" w:line="70" w:lineRule="exact"/>
        <w:rPr>
          <w:sz w:val="20"/>
          <w:szCs w:val="20"/>
          <w:color w:val="auto"/>
        </w:rPr>
      </w:pPr>
    </w:p>
    <w:p>
      <w:pPr>
        <w:ind w:right="600" w:firstLine="267"/>
        <w:spacing w:after="0" w:line="277" w:lineRule="auto"/>
        <w:rPr>
          <w:sz w:val="20"/>
          <w:szCs w:val="20"/>
          <w:color w:val="auto"/>
        </w:rPr>
      </w:pPr>
      <w:r>
        <w:rPr>
          <w:rFonts w:ascii="Arial" w:cs="Arial" w:eastAsia="Arial" w:hAnsi="Arial"/>
          <w:sz w:val="18"/>
          <w:szCs w:val="18"/>
          <w:color w:val="auto"/>
        </w:rPr>
        <w:t>Two manufacturers engaged by us accounted for approximately 17% and 9% of our total production during Fiscal 2005, respectively. The primary production facilities of these two manufacturers are located in Asia.</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Our product purchases are divided broadly into three brand categories:</w:t>
      </w:r>
    </w:p>
    <w:p>
      <w:pPr>
        <w:spacing w:after="0" w:line="117" w:lineRule="exact"/>
        <w:rPr>
          <w:sz w:val="20"/>
          <w:szCs w:val="20"/>
          <w:color w:val="auto"/>
        </w:rPr>
      </w:pPr>
    </w:p>
    <w:p>
      <w:pPr>
        <w:ind w:left="460" w:right="340" w:hanging="101"/>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LDP Purchasing — purchases of finished products, where the supplier is responsible for the purchasing and carrying of raw materials, including all logistics and inbound duties and arrangements (custom and broker) to selected country port of entry;</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FOB Purchasing — purchases of finished products, where the supplier is responsible for the purchasing and carrying of raw materials; and</w:t>
      </w:r>
    </w:p>
    <w:p>
      <w:pPr>
        <w:spacing w:after="0" w:line="142" w:lineRule="exact"/>
        <w:rPr>
          <w:rFonts w:ascii="Arial" w:cs="Arial" w:eastAsia="Arial" w:hAnsi="Arial"/>
          <w:sz w:val="17"/>
          <w:szCs w:val="17"/>
          <w:color w:val="auto"/>
        </w:rPr>
      </w:pPr>
    </w:p>
    <w:p>
      <w:pPr>
        <w:ind w:left="460" w:right="100" w:hanging="101"/>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CMT Purchasing — cut, make and trim purchasing, where we are responsible for purchasing and moving raw materials to finished product assemblers located around the world.</w:t>
      </w:r>
    </w:p>
    <w:p>
      <w:pPr>
        <w:spacing w:after="0" w:line="62" w:lineRule="exact"/>
        <w:rPr>
          <w:sz w:val="20"/>
          <w:szCs w:val="20"/>
          <w:color w:val="auto"/>
        </w:rPr>
      </w:pPr>
    </w:p>
    <w:p>
      <w:pPr>
        <w:ind w:right="20" w:firstLine="267"/>
        <w:spacing w:after="0" w:line="279" w:lineRule="auto"/>
        <w:rPr>
          <w:sz w:val="20"/>
          <w:szCs w:val="20"/>
          <w:color w:val="auto"/>
        </w:rPr>
      </w:pPr>
      <w:r>
        <w:rPr>
          <w:rFonts w:ascii="Arial" w:cs="Arial" w:eastAsia="Arial" w:hAnsi="Arial"/>
          <w:sz w:val="17"/>
          <w:szCs w:val="17"/>
          <w:color w:val="auto"/>
        </w:rPr>
        <w:t>We must commit to manufacture the majority of our garments before we receive customer orders. We also must commit to purchase fabric from mills well in advance of our sales. If we overestimate the demand for a particular product which we cannot sell to our primary customers, we may sell the excess in our outlet stores or sell the product through secondary distribution channels. If we overestimate the need for a particular fabric or yarn, that fabric or yarn may be used in garments made for subsequent seasons or made into past season’s styles for distribution in our outlet stores.</w:t>
      </w:r>
    </w:p>
    <w:p>
      <w:pPr>
        <w:spacing w:after="0" w:line="63" w:lineRule="exact"/>
        <w:rPr>
          <w:sz w:val="20"/>
          <w:szCs w:val="20"/>
          <w:color w:val="auto"/>
        </w:rPr>
      </w:pPr>
    </w:p>
    <w:p>
      <w:pPr>
        <w:ind w:right="60" w:firstLine="267"/>
        <w:spacing w:after="0" w:line="264" w:lineRule="auto"/>
        <w:rPr>
          <w:sz w:val="20"/>
          <w:szCs w:val="20"/>
          <w:color w:val="auto"/>
        </w:rPr>
      </w:pPr>
      <w:r>
        <w:rPr>
          <w:rFonts w:ascii="Arial" w:cs="Arial" w:eastAsia="Arial" w:hAnsi="Arial"/>
          <w:sz w:val="18"/>
          <w:szCs w:val="18"/>
          <w:color w:val="auto"/>
        </w:rPr>
        <w:t>We have been working closely with suppliers in recent years to reduce the lead times for fulfillment (</w:t>
      </w:r>
      <w:r>
        <w:rPr>
          <w:rFonts w:ascii="Arial" w:cs="Arial" w:eastAsia="Arial" w:hAnsi="Arial"/>
          <w:sz w:val="18"/>
          <w:szCs w:val="18"/>
          <w:i w:val="1"/>
          <w:iCs w:val="1"/>
          <w:color w:val="auto"/>
        </w:rPr>
        <w:t>e.g.</w:t>
      </w:r>
      <w:r>
        <w:rPr>
          <w:rFonts w:ascii="Arial" w:cs="Arial" w:eastAsia="Arial" w:hAnsi="Arial"/>
          <w:sz w:val="18"/>
          <w:szCs w:val="18"/>
          <w:color w:val="auto"/>
        </w:rPr>
        <w:t>, shipment) of orders and to permit re-orders of successful programs. In particular, we have increased the number of deliveries within certain brands each season so that merchandise is kept fresh at the retail level.</w:t>
      </w:r>
    </w:p>
    <w:p>
      <w:pPr>
        <w:spacing w:after="0" w:line="73" w:lineRule="exact"/>
        <w:rPr>
          <w:sz w:val="20"/>
          <w:szCs w:val="20"/>
          <w:color w:val="auto"/>
        </w:rPr>
      </w:pPr>
    </w:p>
    <w:p>
      <w:pPr>
        <w:ind w:right="40" w:firstLine="270"/>
        <w:spacing w:after="0" w:line="277" w:lineRule="auto"/>
        <w:rPr>
          <w:sz w:val="20"/>
          <w:szCs w:val="20"/>
          <w:color w:val="auto"/>
        </w:rPr>
      </w:pPr>
      <w:r>
        <w:rPr>
          <w:rFonts w:ascii="Arial" w:cs="Arial" w:eastAsia="Arial" w:hAnsi="Arial"/>
          <w:sz w:val="18"/>
          <w:szCs w:val="18"/>
          <w:color w:val="auto"/>
        </w:rPr>
        <w:t>Suppliers operate under the close supervision of our global manufacturing division and buying agents headquartered in Asia and Europe. All garments are produced according to our specifications. Production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quality control staff in the United States, Asia and Europe monitor manufacturing at supplier facilities in order to correct problems prior to shipment of the final product. Procedures have been implemented under our vendor certification and compliance programs, so that quality assurance is focused upon as early as possible in the production process and flow ready merchandise activities, allowing merchandise to be received at the distribution facilities and shipped to customers with minimal interruption.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320" w:firstLine="270"/>
        <w:spacing w:after="0" w:line="276" w:lineRule="auto"/>
        <w:rPr>
          <w:sz w:val="20"/>
          <w:szCs w:val="20"/>
          <w:color w:val="auto"/>
        </w:rPr>
      </w:pPr>
      <w:r>
        <w:rPr>
          <w:rFonts w:ascii="Arial" w:cs="Arial" w:eastAsia="Arial" w:hAnsi="Arial"/>
          <w:sz w:val="17"/>
          <w:szCs w:val="17"/>
          <w:color w:val="auto"/>
        </w:rPr>
        <w:t>Competition is strong in the segments of the fashion and consumer product industries in which we operate. We compete with numerous designers and manufacturers of apparel and accessories, fragrances and home furnishing products, domestic and foreign, including Liz Claiborne, Inc., Jones Apparel Group, Inc., Tommy Hilfiger Corporation, Calvin Klein, Inc. and Giorgio Armani Spa in the branded apparel market sector, and Gucci Group N.V. and LVMH Moet Hennessy Louis Vuitton in the luxury market sector. Some of our competitors may be significantly larger and have substantially greater resources than us. We compete primarily on the basis of fashion, quality and service, which depend on our ability to:</w:t>
      </w:r>
    </w:p>
    <w:p>
      <w:pPr>
        <w:spacing w:after="0" w:line="64" w:lineRule="exact"/>
        <w:rPr>
          <w:sz w:val="20"/>
          <w:szCs w:val="20"/>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anticipate and respond to changing consumer demands in a timely manner;</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favorable brand recognition;</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and produce high quality products that appeal to consumers;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appropriately price our products;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strong and effective marketing support;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ensure product availability;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sufficient retail floor space and effectively present our products at retail.</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See “Risk Factors — Risks Relating to the Industry in Which we Compete — We face intense competition in the worldwide apparel industry.”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121" w:lineRule="exact"/>
        <w:rPr>
          <w:sz w:val="20"/>
          <w:szCs w:val="20"/>
          <w:color w:val="auto"/>
        </w:rPr>
      </w:pPr>
    </w:p>
    <w:p>
      <w:pPr>
        <w:ind w:right="20" w:firstLine="267"/>
        <w:spacing w:after="0" w:line="276" w:lineRule="auto"/>
        <w:rPr>
          <w:sz w:val="20"/>
          <w:szCs w:val="20"/>
          <w:color w:val="auto"/>
        </w:rPr>
      </w:pPr>
      <w:r>
        <w:rPr>
          <w:rFonts w:ascii="Arial" w:cs="Arial" w:eastAsia="Arial" w:hAnsi="Arial"/>
          <w:sz w:val="17"/>
          <w:szCs w:val="17"/>
          <w:color w:val="auto"/>
        </w:rPr>
        <w:t>To facilitate distribution domestically, Ralph Lauren men’s and women’s products are shipped from manufacturers primarily to our distribution center in Greensboro, North Carolina for inspection, sorting, packing and shipment to retail customers. Ralph Lauren Childrenswear product is shipped from our manufacturers to our Childrenswear distribution center in Martinsburg, West Virginia. These facilities are designed to allow for high density cube storage and utilize bar code technology to provide inventory management and carton controls. Product traffic management is also coordinated from these facilities. European distribution and warehousing has been largely consolidated into one third party facility located in Parma, Italy.</w:t>
      </w:r>
    </w:p>
    <w:p>
      <w:pPr>
        <w:spacing w:after="0" w:line="64" w:lineRule="exact"/>
        <w:rPr>
          <w:sz w:val="20"/>
          <w:szCs w:val="20"/>
          <w:color w:val="auto"/>
        </w:rPr>
      </w:pPr>
    </w:p>
    <w:p>
      <w:pPr>
        <w:ind w:right="520" w:firstLine="270"/>
        <w:spacing w:after="0" w:line="277" w:lineRule="auto"/>
        <w:rPr>
          <w:sz w:val="20"/>
          <w:szCs w:val="20"/>
          <w:color w:val="auto"/>
        </w:rPr>
      </w:pPr>
      <w:r>
        <w:rPr>
          <w:rFonts w:ascii="Arial" w:cs="Arial" w:eastAsia="Arial" w:hAnsi="Arial"/>
          <w:sz w:val="18"/>
          <w:szCs w:val="18"/>
          <w:color w:val="auto"/>
        </w:rPr>
        <w:t>Our full-price store and outlet store distribution and warehousing are principally handled through the Greensboro distribution center. Club Monaco products are distributed from facilities in Ontario, Canada, New Jersey and California.</w:t>
      </w:r>
    </w:p>
    <w:p>
      <w:pPr>
        <w:spacing w:after="0" w:line="62" w:lineRule="exact"/>
        <w:rPr>
          <w:sz w:val="20"/>
          <w:szCs w:val="20"/>
          <w:color w:val="auto"/>
        </w:rPr>
      </w:pPr>
    </w:p>
    <w:p>
      <w:pPr>
        <w:ind w:right="40" w:firstLine="270"/>
        <w:spacing w:after="0" w:line="277" w:lineRule="auto"/>
        <w:rPr>
          <w:sz w:val="20"/>
          <w:szCs w:val="20"/>
          <w:color w:val="auto"/>
        </w:rPr>
      </w:pPr>
      <w:r>
        <w:rPr>
          <w:rFonts w:ascii="Arial" w:cs="Arial" w:eastAsia="Arial" w:hAnsi="Arial"/>
          <w:sz w:val="18"/>
          <w:szCs w:val="18"/>
          <w:color w:val="auto"/>
        </w:rPr>
        <w:t>Ralph Lauren Media has entered into an agreement with ValueVision Media, which operates ShopNBC, to perform its warehousing, order fulfillment and call center functions. ValueVision Media and the National Broadcasting Company are our partners in Ralph Lauren Media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Information Systems</w:t>
      </w:r>
    </w:p>
    <w:p>
      <w:pPr>
        <w:spacing w:after="0" w:line="121"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Our management information systems make the marketing, manufacturing, importing and distribution of our products more efficient by providing, among other things:</w:t>
      </w:r>
    </w:p>
    <w:p>
      <w:pPr>
        <w:spacing w:after="0" w:line="62" w:lineRule="exact"/>
        <w:rPr>
          <w:sz w:val="20"/>
          <w:szCs w:val="20"/>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comprehensive order processing;</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production information;</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accounting information;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enterprise view of information for our marketing, manufacturing, importing and distribution functions.</w:t>
      </w:r>
    </w:p>
    <w:p>
      <w:pPr>
        <w:spacing w:after="0" w:line="117" w:lineRule="exact"/>
        <w:rPr>
          <w:sz w:val="20"/>
          <w:szCs w:val="20"/>
          <w:color w:val="auto"/>
        </w:rPr>
      </w:pPr>
    </w:p>
    <w:p>
      <w:pPr>
        <w:ind w:firstLine="267"/>
        <w:spacing w:after="0" w:line="264" w:lineRule="auto"/>
        <w:rPr>
          <w:sz w:val="20"/>
          <w:szCs w:val="20"/>
          <w:color w:val="auto"/>
        </w:rPr>
      </w:pPr>
      <w:r>
        <w:rPr>
          <w:rFonts w:ascii="Arial" w:cs="Arial" w:eastAsia="Arial" w:hAnsi="Arial"/>
          <w:sz w:val="18"/>
          <w:szCs w:val="18"/>
          <w:color w:val="auto"/>
        </w:rPr>
        <w:t>The point-of-sale registers in our stores enable us to track inventory from store receipt to final sale on a real-time basis. We believe our merchandising and financial systems, coupled with our point-of-sale registers and software programs, allow for rapid stock replenishment, concise merchandise planning and real-time inventory accounting.</w:t>
      </w:r>
    </w:p>
    <w:p>
      <w:pPr>
        <w:spacing w:after="0" w:line="73" w:lineRule="exact"/>
        <w:rPr>
          <w:sz w:val="20"/>
          <w:szCs w:val="20"/>
          <w:color w:val="auto"/>
        </w:rPr>
      </w:pPr>
    </w:p>
    <w:p>
      <w:pPr>
        <w:ind w:right="180" w:firstLine="267"/>
        <w:spacing w:after="0" w:line="286" w:lineRule="auto"/>
        <w:rPr>
          <w:sz w:val="20"/>
          <w:szCs w:val="20"/>
          <w:color w:val="auto"/>
        </w:rPr>
      </w:pPr>
      <w:r>
        <w:rPr>
          <w:rFonts w:ascii="Arial" w:cs="Arial" w:eastAsia="Arial" w:hAnsi="Arial"/>
          <w:sz w:val="17"/>
          <w:szCs w:val="17"/>
          <w:color w:val="auto"/>
        </w:rPr>
        <w:t>We also utilize a sophisticated automated replenishment system to facilitate the processing of basic replenishment orders from our wholesale customers, the movement of goods through distribution channels, and the collection of information for planning and forecasting. We have a collaborative relationship with many of our suppliers that enables the Company to reduce cash to cash cycles in the management of our inventory.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Wholesale Credit Control</w:t>
      </w:r>
    </w:p>
    <w:p>
      <w:pPr>
        <w:spacing w:after="0" w:line="121" w:lineRule="exact"/>
        <w:rPr>
          <w:sz w:val="20"/>
          <w:szCs w:val="20"/>
          <w:color w:val="auto"/>
        </w:rPr>
      </w:pPr>
    </w:p>
    <w:p>
      <w:pPr>
        <w:ind w:right="40" w:firstLine="267"/>
        <w:spacing w:after="0" w:line="257" w:lineRule="auto"/>
        <w:rPr>
          <w:sz w:val="20"/>
          <w:szCs w:val="20"/>
          <w:color w:val="auto"/>
        </w:rPr>
      </w:pPr>
      <w:r>
        <w:rPr>
          <w:rFonts w:ascii="Arial" w:cs="Arial" w:eastAsia="Arial" w:hAnsi="Arial"/>
          <w:sz w:val="18"/>
          <w:szCs w:val="18"/>
          <w:color w:val="auto"/>
        </w:rPr>
        <w:t>We manage our own credit function. We sell our merchandise primarily to major department stores and extend credit based on an evaluation of the customer’s financial condition, usually without requiring collateral. We monitor credit levels and the financial condition of our customers on a continuing basis to minimize credit risk. We do not factor our accounts receivables or maintain credit insurance to manage the risks of bad debts. Our bad debt write-offs were $2.1 million in Fiscal 2005, representing less than one percent of net revenues. See “Risk Factors — Risks Related to Our Business — Our business could be negatively impacted by any financial instability of our customers.”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Wholesale Backlog</w:t>
      </w:r>
    </w:p>
    <w:p>
      <w:pPr>
        <w:spacing w:after="0" w:line="121" w:lineRule="exact"/>
        <w:rPr>
          <w:sz w:val="20"/>
          <w:szCs w:val="20"/>
          <w:color w:val="auto"/>
        </w:rPr>
      </w:pPr>
    </w:p>
    <w:p>
      <w:pPr>
        <w:ind w:right="200" w:firstLine="267"/>
        <w:spacing w:after="0" w:line="276" w:lineRule="auto"/>
        <w:rPr>
          <w:sz w:val="20"/>
          <w:szCs w:val="20"/>
          <w:color w:val="auto"/>
        </w:rPr>
      </w:pPr>
      <w:r>
        <w:rPr>
          <w:rFonts w:ascii="Arial" w:cs="Arial" w:eastAsia="Arial" w:hAnsi="Arial"/>
          <w:sz w:val="17"/>
          <w:szCs w:val="17"/>
          <w:color w:val="auto"/>
        </w:rPr>
        <w:t>We generally receive wholesale orders for apparel products approximately three to five months prior to the time the products are delivered to stores. All such orders are subject to cancellation. As of April 2, 2005, our summer and fall backlog was $252.1 million and $525.4 million, respectively, compared to $215.0 million and $474.8 million, respectively, at April 3, 2004. Our backlog depends upon a number of factors, including the timing of the market weeks for our particular lines, during which a significant percentage of our orders are received, and the timing of shipments. As a consequence, a comparison of backlog from period to period is not necessarily meaningful and may not be indicative of eventual shipments.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We own the “Polo,” “Ralph Lauren” and the famous polo player astride a horse trademarks in the United States. Other trademarks we own include:</w:t>
      </w:r>
    </w:p>
    <w:p>
      <w:pPr>
        <w:spacing w:after="0" w:line="129" w:lineRule="exact"/>
        <w:rPr>
          <w:sz w:val="20"/>
          <w:szCs w:val="20"/>
          <w:color w:val="auto"/>
        </w:rPr>
      </w:pPr>
    </w:p>
    <w:p>
      <w:pPr>
        <w:ind w:left="460" w:hanging="101"/>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“Chaps”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“Polo Sport”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“Lauren/ Ralph Lauren”</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“Polo Jeans Co.”</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“RRL”</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“Club Monaco”</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“Rugby”</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“RLX”</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Various trademarks pertaining to fragrances and cosmetics</w:t>
      </w:r>
    </w:p>
    <w:p>
      <w:pPr>
        <w:spacing w:after="0" w:line="117" w:lineRule="exact"/>
        <w:rPr>
          <w:sz w:val="20"/>
          <w:szCs w:val="20"/>
          <w:color w:val="auto"/>
        </w:rPr>
      </w:pPr>
    </w:p>
    <w:p>
      <w:pPr>
        <w:ind w:right="360" w:firstLine="270"/>
        <w:spacing w:after="0" w:line="264" w:lineRule="auto"/>
        <w:rPr>
          <w:sz w:val="20"/>
          <w:szCs w:val="20"/>
          <w:color w:val="auto"/>
        </w:rPr>
      </w:pPr>
      <w:r>
        <w:rPr>
          <w:rFonts w:ascii="Arial" w:cs="Arial" w:eastAsia="Arial" w:hAnsi="Arial"/>
          <w:sz w:val="18"/>
          <w:szCs w:val="18"/>
          <w:color w:val="auto"/>
        </w:rPr>
        <w:t>Ralph Lauren has the royalty-free right to use as trademarks “Ralph Lauren,” “Double RL” and “RRL” in perpetuity in connection with, among other things, beef and living animals. The trademarks “Double RL” and “RRL” are currently used by the Double RL Company, an entity wholly owned by Mr. Lauren. In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addition, Mr. Lauren has the right to engage in personal projects involving film or theatrical productions (not including or relating to our business) through RRL Productions, Inc., a company wholly owned by Mr. Lauren. Any activity done by these companies has no impact on the Company.</w:t>
      </w:r>
    </w:p>
    <w:p>
      <w:pPr>
        <w:spacing w:after="0" w:line="38" w:lineRule="exact"/>
        <w:rPr>
          <w:sz w:val="20"/>
          <w:szCs w:val="20"/>
          <w:color w:val="auto"/>
        </w:rPr>
      </w:pPr>
    </w:p>
    <w:p>
      <w:pPr>
        <w:ind w:right="80" w:firstLine="270"/>
        <w:spacing w:after="0" w:line="291" w:lineRule="auto"/>
        <w:rPr>
          <w:sz w:val="20"/>
          <w:szCs w:val="20"/>
          <w:color w:val="auto"/>
        </w:rPr>
      </w:pPr>
      <w:r>
        <w:rPr>
          <w:rFonts w:ascii="Arial" w:cs="Arial" w:eastAsia="Arial" w:hAnsi="Arial"/>
          <w:sz w:val="16"/>
          <w:szCs w:val="16"/>
          <w:color w:val="auto"/>
        </w:rPr>
        <w:t>Our trademarks are the subjects of registrations and pending applications throughout the world for use on a variety of items of apparel, apparel-related products, home furnishings and beauty products, as well as in connection with retail services, and we continue to expand our worldwide usage and registration of related trademarks. In general, trademarks remain valid and enforceable as long as the marks are used in connection with the products and services and the required registration renewals are filed. We regard the license to use the trademarks and our other proprietary rights in and to the trademarks as valuable assets in marketing our products and, on a worldwide basis, vigorously seek to protect them against infringement. See Item 3 — “Legal Proceedings.” As a result of the appeal of our trademarks, our products have been the object of counterfeiting. We have a broad enforcement program which has been generally effective in controlling the sale of counterfeit products in the United States and in major markets abroad.</w:t>
      </w:r>
    </w:p>
    <w:p>
      <w:pPr>
        <w:spacing w:after="0" w:line="59" w:lineRule="exact"/>
        <w:rPr>
          <w:sz w:val="20"/>
          <w:szCs w:val="20"/>
          <w:color w:val="auto"/>
        </w:rPr>
      </w:pPr>
    </w:p>
    <w:p>
      <w:pPr>
        <w:ind w:firstLine="270"/>
        <w:spacing w:after="0" w:line="271" w:lineRule="auto"/>
        <w:rPr>
          <w:sz w:val="20"/>
          <w:szCs w:val="20"/>
          <w:color w:val="auto"/>
        </w:rPr>
      </w:pPr>
      <w:r>
        <w:rPr>
          <w:rFonts w:ascii="Arial" w:cs="Arial" w:eastAsia="Arial" w:hAnsi="Arial"/>
          <w:sz w:val="17"/>
          <w:szCs w:val="17"/>
          <w:color w:val="auto"/>
        </w:rPr>
        <w:t>In markets outside of the United States, our rights to some or all of our trademarks may not be clearly established. In the course of our international expansion, we have experienced conflicts with various third parties which have acquired ownership rights in certain trademarks, including “Polo” and/or a representation of a polo player astride a horse, which would impeded our use and registration of our principal trademarks. While such conflicts are common and may arise again from time to time as we continue our international expansion, we have successfully resolved such conflicts in the past through both legal action and negotiated settlements with third-party owners of the conflicting marks. See “Risk Factors — Risks Related to Our Business — Our trademarks and other intellectual property rights may not be adequately protected outside the United States” and Item 3 — “Legal Proceedings.” Although we have not in the past suffered any material inhibition from doing business in desirable markets in the past, we cannot assure that significant impediments will not arise in the future as we expand product offerings and additional trademarks to new markets.</w:t>
      </w:r>
    </w:p>
    <w:p>
      <w:pPr>
        <w:spacing w:after="0" w:line="71" w:lineRule="exact"/>
        <w:rPr>
          <w:sz w:val="20"/>
          <w:szCs w:val="20"/>
          <w:color w:val="auto"/>
        </w:rPr>
      </w:pPr>
    </w:p>
    <w:p>
      <w:pPr>
        <w:ind w:right="40" w:firstLine="267"/>
        <w:spacing w:after="0" w:line="255" w:lineRule="auto"/>
        <w:rPr>
          <w:sz w:val="20"/>
          <w:szCs w:val="20"/>
          <w:color w:val="auto"/>
        </w:rPr>
      </w:pPr>
      <w:r>
        <w:rPr>
          <w:rFonts w:ascii="Arial" w:cs="Arial" w:eastAsia="Arial" w:hAnsi="Arial"/>
          <w:sz w:val="18"/>
          <w:szCs w:val="18"/>
          <w:color w:val="auto"/>
        </w:rPr>
        <w:t>We currently have an agreement with a third party which owned conflicting registrations of the trademarks “Polo” and a polo player astride a horse in the United Kingdom, Hong Kong and South Africa. Under the agreement, the third party retains the right to use the “Polo” and polo player symbol marks in South Africa and all other countries that comprise Sub-Saharan Africa, and we agreed to restrict use of those Polo marks in those countries to fragrances and cosmetics solely as part of the composite trademark “Ralph Lauren” and the polo player symbol, as to which our use is unlimited, and to the use of the polo player symbol mark on women’s and girls’ apparel and accessories and women’s and girls’ handkerchiefs. By agreeing to those restrictions, we secured the unlimited right to use our trademarks in the United Kingdom and Hong Kong without payment of any kind, and the third party is prohibited from distributing products under those trademarks in those countries.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120" w:firstLine="270"/>
        <w:spacing w:after="0" w:line="293" w:lineRule="auto"/>
        <w:rPr>
          <w:sz w:val="20"/>
          <w:szCs w:val="20"/>
          <w:color w:val="auto"/>
        </w:rPr>
      </w:pPr>
      <w:r>
        <w:rPr>
          <w:rFonts w:ascii="Arial" w:cs="Arial" w:eastAsia="Arial" w:hAnsi="Arial"/>
          <w:sz w:val="16"/>
          <w:szCs w:val="16"/>
          <w:color w:val="auto"/>
        </w:rPr>
        <w:t>Pursuant to the World Trade Organization (“WTO”) Agreement, effective January 1, 2005, the United States and other WTO member countries removed quotas on goods from WTO members. In certain instances, the elimination of quota affords us greater access to foreign markets; however, as the removal of quotas resulted in an import surge from China, the U.S. took action in May 2005 and imposed safeguard quotas on seven categories of goods which may adversely effect the Company’s ability to import product from China in 2005. On June 10, 2005, in response to the surge of Chinese imports into the European Union (“EU”), the EU Commission signed a Memorandum of Understanding (“MOU”) with China in which 10 categories of textiles and apparel will be subject to restraints. This may also effect our ability to import product into the EU in these 10 categories during 2005.</w:t>
      </w:r>
    </w:p>
    <w:p>
      <w:pPr>
        <w:spacing w:after="0" w:line="57" w:lineRule="exact"/>
        <w:rPr>
          <w:sz w:val="20"/>
          <w:szCs w:val="20"/>
          <w:color w:val="auto"/>
        </w:rPr>
      </w:pPr>
    </w:p>
    <w:p>
      <w:pPr>
        <w:ind w:right="320" w:firstLine="270"/>
        <w:spacing w:after="0" w:line="277" w:lineRule="auto"/>
        <w:rPr>
          <w:sz w:val="20"/>
          <w:szCs w:val="20"/>
          <w:color w:val="auto"/>
        </w:rPr>
      </w:pPr>
      <w:r>
        <w:rPr>
          <w:rFonts w:ascii="Arial" w:cs="Arial" w:eastAsia="Arial" w:hAnsi="Arial"/>
          <w:sz w:val="18"/>
          <w:szCs w:val="18"/>
          <w:color w:val="auto"/>
        </w:rPr>
        <w:t>Our imported products are also subject to U.S. customs duties which comprise a material portion of the cost of the merchandise. See “Risk Factors — Risks Related To Our Business — Our business is subject to risks associated with importing products.”</w:t>
      </w:r>
    </w:p>
    <w:p>
      <w:pPr>
        <w:spacing w:after="0" w:line="62" w:lineRule="exact"/>
        <w:rPr>
          <w:sz w:val="20"/>
          <w:szCs w:val="20"/>
          <w:color w:val="auto"/>
        </w:rPr>
      </w:pPr>
    </w:p>
    <w:p>
      <w:pPr>
        <w:ind w:right="160" w:firstLine="270"/>
        <w:spacing w:after="0" w:line="277" w:lineRule="auto"/>
        <w:rPr>
          <w:sz w:val="20"/>
          <w:szCs w:val="20"/>
          <w:color w:val="auto"/>
        </w:rPr>
      </w:pPr>
      <w:r>
        <w:rPr>
          <w:rFonts w:ascii="Arial" w:cs="Arial" w:eastAsia="Arial" w:hAnsi="Arial"/>
          <w:sz w:val="18"/>
          <w:szCs w:val="18"/>
          <w:color w:val="auto"/>
        </w:rPr>
        <w:t>Exports of certain of our US-manufactured products into the European market are subject to increased duties of 15 percent starting May 2005 until such time as the Byrd Amendment is repealed by the Congress.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Additional punitive duties may be imposed in the first quarter of 2006 should the US Congress not repeal the Foreign Sales Corporation/ Extra-Territorial Income Tax Exclusion Act.</w:t>
      </w:r>
    </w:p>
    <w:p>
      <w:pPr>
        <w:spacing w:after="0" w:line="62" w:lineRule="exact"/>
        <w:rPr>
          <w:sz w:val="20"/>
          <w:szCs w:val="20"/>
          <w:color w:val="auto"/>
        </w:rPr>
      </w:pPr>
    </w:p>
    <w:p>
      <w:pPr>
        <w:ind w:right="20" w:firstLine="260"/>
        <w:spacing w:after="0" w:line="291" w:lineRule="auto"/>
        <w:rPr>
          <w:sz w:val="20"/>
          <w:szCs w:val="20"/>
          <w:color w:val="auto"/>
        </w:rPr>
      </w:pPr>
      <w:r>
        <w:rPr>
          <w:rFonts w:ascii="Arial" w:cs="Arial" w:eastAsia="Arial" w:hAnsi="Arial"/>
          <w:sz w:val="16"/>
          <w:szCs w:val="16"/>
          <w:color w:val="auto"/>
        </w:rPr>
        <w:t>Apparel products and other merchandise sold by Polo may also be subject to regulation in the United States by other governmental agencies, including the Federal Trade Commission, United States Fish and Wildlife Service and the Consumer Products Safety Commission. These regulations relate principally to product labeling, licensing requirements and flammability testing. We believe that we are in substantial compliance with those regulations as well as applicable federal, state, local, and foreign rules and regulations governing the discharge of materials hazardous to the environment. We do not estimate any significant capital expenditures for environmental control matters either in the current year or in the near future. Our licensed products and licensing partners are also subject to regulation. Our agreements require our licensing partners to operate in compliance with all laws and regulations, and we are not aware of any violations which could reasonably be expected to have a material adverse effect on our business.</w:t>
      </w:r>
    </w:p>
    <w:p>
      <w:pPr>
        <w:spacing w:after="0" w:line="59" w:lineRule="exact"/>
        <w:rPr>
          <w:sz w:val="20"/>
          <w:szCs w:val="20"/>
          <w:color w:val="auto"/>
        </w:rPr>
      </w:pPr>
    </w:p>
    <w:p>
      <w:pPr>
        <w:ind w:right="220" w:firstLine="260"/>
        <w:spacing w:after="0" w:line="277" w:lineRule="auto"/>
        <w:rPr>
          <w:sz w:val="20"/>
          <w:szCs w:val="20"/>
          <w:color w:val="auto"/>
        </w:rPr>
      </w:pPr>
      <w:r>
        <w:rPr>
          <w:rFonts w:ascii="Arial" w:cs="Arial" w:eastAsia="Arial" w:hAnsi="Arial"/>
          <w:sz w:val="18"/>
          <w:szCs w:val="18"/>
          <w:color w:val="auto"/>
        </w:rPr>
        <w:t>Although we have not in the past suffered any material inhibition from doing business in desirable markets in the past, we cannot assure that significant impediments will not arise in the future as we expand product offerings and additional trademarks to new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260"/>
        <w:spacing w:after="0" w:line="259" w:lineRule="auto"/>
        <w:rPr>
          <w:sz w:val="20"/>
          <w:szCs w:val="20"/>
          <w:color w:val="auto"/>
        </w:rPr>
      </w:pPr>
      <w:r>
        <w:rPr>
          <w:rFonts w:ascii="Arial" w:cs="Arial" w:eastAsia="Arial" w:hAnsi="Arial"/>
          <w:sz w:val="18"/>
          <w:szCs w:val="18"/>
          <w:color w:val="auto"/>
        </w:rPr>
        <w:t>As of April 2, 2005, we had approximately 12,762 employees, consisting of approximately 10,928 in the United States and approximately 1,797 in foreign countries. Approximately 37 of our United States production and distribution employees in the womenswear business are members of the Union of Needletrades, Industrial &amp; Textile Employees under an industry association collective bargaining agreement, which our womenswear subsidiary has adopted. We consider our relations with both our union and non-union employees to be good.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are our current executive officers and their principal business experience for the past five years.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60" w:type="dxa"/>
            <w:vAlign w:val="bottom"/>
          </w:tcPr>
          <w:p>
            <w:pPr>
              <w:spacing w:after="0"/>
              <w:rPr>
                <w:sz w:val="20"/>
                <w:szCs w:val="20"/>
                <w:color w:val="auto"/>
              </w:rPr>
            </w:pPr>
            <w:r>
              <w:rPr>
                <w:rFonts w:ascii="Arial" w:cs="Arial" w:eastAsia="Arial" w:hAnsi="Arial"/>
                <w:sz w:val="18"/>
                <w:szCs w:val="18"/>
                <w:b w:val="1"/>
                <w:bCs w:val="1"/>
                <w:color w:val="auto"/>
              </w:rPr>
              <w:t>Ralph Lauren</w:t>
            </w:r>
          </w:p>
        </w:tc>
        <w:tc>
          <w:tcPr>
            <w:tcW w:w="2680" w:type="dxa"/>
            <w:vAlign w:val="bottom"/>
          </w:tcPr>
          <w:p>
            <w:pPr>
              <w:jc w:val="right"/>
              <w:ind w:right="150"/>
              <w:spacing w:after="0"/>
              <w:rPr>
                <w:sz w:val="20"/>
                <w:szCs w:val="20"/>
                <w:color w:val="auto"/>
              </w:rPr>
            </w:pPr>
            <w:r>
              <w:rPr>
                <w:rFonts w:ascii="Arial" w:cs="Arial" w:eastAsia="Arial" w:hAnsi="Arial"/>
                <w:sz w:val="18"/>
                <w:szCs w:val="18"/>
                <w:color w:val="auto"/>
              </w:rPr>
              <w:t>Age 65</w:t>
            </w:r>
          </w:p>
        </w:tc>
        <w:tc>
          <w:tcPr>
            <w:tcW w:w="5380" w:type="dxa"/>
            <w:vAlign w:val="bottom"/>
          </w:tcPr>
          <w:p>
            <w:pPr>
              <w:ind w:left="240"/>
              <w:spacing w:after="0"/>
              <w:rPr>
                <w:sz w:val="20"/>
                <w:szCs w:val="20"/>
                <w:color w:val="auto"/>
              </w:rPr>
            </w:pPr>
            <w:r>
              <w:rPr>
                <w:rFonts w:ascii="Arial" w:cs="Arial" w:eastAsia="Arial" w:hAnsi="Arial"/>
                <w:sz w:val="18"/>
                <w:szCs w:val="18"/>
                <w:color w:val="auto"/>
                <w:w w:val="91"/>
              </w:rPr>
              <w:t>Mr. Lauren has been Chairman, Chief Executive Officer and a director</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w w:val="94"/>
              </w:rPr>
              <w:t>of the Company since prior to the Company’s initial public offering in</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1997, and was a member of the Advisory Board of the Board of</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w w:val="92"/>
              </w:rPr>
              <w:t>Directors of the Company’s predecessors since their organization. He</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w w:val="99"/>
              </w:rPr>
              <w:t>founded Polo in 1967 and has provided leadership in the design,</w:t>
            </w:r>
          </w:p>
        </w:tc>
        <w:tc>
          <w:tcPr>
            <w:tcW w:w="0" w:type="dxa"/>
            <w:vAlign w:val="bottom"/>
          </w:tcPr>
          <w:p>
            <w:pPr>
              <w:spacing w:after="0"/>
              <w:rPr>
                <w:sz w:val="1"/>
                <w:szCs w:val="1"/>
                <w:color w:val="auto"/>
              </w:rPr>
            </w:pPr>
          </w:p>
        </w:tc>
      </w:tr>
      <w:tr>
        <w:trPr>
          <w:trHeight w:val="216"/>
        </w:trPr>
        <w:tc>
          <w:tcPr>
            <w:tcW w:w="3360" w:type="dxa"/>
            <w:vAlign w:val="bottom"/>
            <w:vMerge w:val="restart"/>
          </w:tcPr>
          <w:p>
            <w:pPr>
              <w:spacing w:after="0"/>
              <w:rPr>
                <w:sz w:val="20"/>
                <w:szCs w:val="20"/>
                <w:color w:val="auto"/>
              </w:rPr>
            </w:pPr>
            <w:r>
              <w:rPr>
                <w:rFonts w:ascii="Arial" w:cs="Arial" w:eastAsia="Arial" w:hAnsi="Arial"/>
                <w:sz w:val="18"/>
                <w:szCs w:val="18"/>
                <w:b w:val="1"/>
                <w:bCs w:val="1"/>
                <w:color w:val="auto"/>
              </w:rPr>
              <w:t>Roger N. Farah</w:t>
            </w:r>
          </w:p>
        </w:tc>
        <w:tc>
          <w:tcPr>
            <w:tcW w:w="2680" w:type="dxa"/>
            <w:vAlign w:val="bottom"/>
          </w:tcPr>
          <w:p>
            <w:pPr>
              <w:spacing w:after="0"/>
              <w:rPr>
                <w:sz w:val="18"/>
                <w:szCs w:val="18"/>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marketing, advertising and operational areas since such time.</w:t>
            </w:r>
          </w:p>
        </w:tc>
        <w:tc>
          <w:tcPr>
            <w:tcW w:w="0" w:type="dxa"/>
            <w:vAlign w:val="bottom"/>
          </w:tcPr>
          <w:p>
            <w:pPr>
              <w:spacing w:after="0"/>
              <w:rPr>
                <w:sz w:val="1"/>
                <w:szCs w:val="1"/>
                <w:color w:val="auto"/>
              </w:rPr>
            </w:pPr>
          </w:p>
        </w:tc>
      </w:tr>
      <w:tr>
        <w:trPr>
          <w:trHeight w:val="216"/>
        </w:trPr>
        <w:tc>
          <w:tcPr>
            <w:tcW w:w="3360" w:type="dxa"/>
            <w:vAlign w:val="bottom"/>
            <w:vMerge w:val="continue"/>
          </w:tcPr>
          <w:p>
            <w:pPr>
              <w:spacing w:after="0"/>
              <w:rPr>
                <w:sz w:val="18"/>
                <w:szCs w:val="18"/>
                <w:color w:val="auto"/>
              </w:rPr>
            </w:pPr>
          </w:p>
        </w:tc>
        <w:tc>
          <w:tcPr>
            <w:tcW w:w="2680" w:type="dxa"/>
            <w:vAlign w:val="bottom"/>
          </w:tcPr>
          <w:p>
            <w:pPr>
              <w:jc w:val="right"/>
              <w:ind w:right="150"/>
              <w:spacing w:after="0"/>
              <w:rPr>
                <w:sz w:val="20"/>
                <w:szCs w:val="20"/>
                <w:color w:val="auto"/>
              </w:rPr>
            </w:pPr>
            <w:r>
              <w:rPr>
                <w:rFonts w:ascii="Arial" w:cs="Arial" w:eastAsia="Arial" w:hAnsi="Arial"/>
                <w:sz w:val="18"/>
                <w:szCs w:val="18"/>
                <w:color w:val="auto"/>
              </w:rPr>
              <w:t>Age 52</w:t>
            </w:r>
          </w:p>
        </w:tc>
        <w:tc>
          <w:tcPr>
            <w:tcW w:w="5380" w:type="dxa"/>
            <w:vAlign w:val="bottom"/>
          </w:tcPr>
          <w:p>
            <w:pPr>
              <w:ind w:left="240"/>
              <w:spacing w:after="0"/>
              <w:rPr>
                <w:sz w:val="20"/>
                <w:szCs w:val="20"/>
                <w:color w:val="auto"/>
              </w:rPr>
            </w:pPr>
            <w:r>
              <w:rPr>
                <w:rFonts w:ascii="Arial" w:cs="Arial" w:eastAsia="Arial" w:hAnsi="Arial"/>
                <w:sz w:val="18"/>
                <w:szCs w:val="18"/>
                <w:color w:val="auto"/>
                <w:w w:val="93"/>
              </w:rPr>
              <w:t>Mr. Farah has been President, Chief Operating Officer and a director</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w w:val="95"/>
              </w:rPr>
              <w:t>of the Company since April 2000. He was Chairman of the Board of</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w w:val="99"/>
              </w:rPr>
              <w:t>Venator Group, Inc. from December 1994 to April 2000, and was</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w w:val="94"/>
              </w:rPr>
              <w:t>Chief Executive Officer of Venator Group, Inc. from December 1994</w:t>
            </w:r>
          </w:p>
        </w:tc>
        <w:tc>
          <w:tcPr>
            <w:tcW w:w="0" w:type="dxa"/>
            <w:vAlign w:val="bottom"/>
          </w:tcPr>
          <w:p>
            <w:pPr>
              <w:spacing w:after="0"/>
              <w:rPr>
                <w:sz w:val="1"/>
                <w:szCs w:val="1"/>
                <w:color w:val="auto"/>
              </w:rPr>
            </w:pPr>
          </w:p>
        </w:tc>
      </w:tr>
      <w:tr>
        <w:trPr>
          <w:trHeight w:val="216"/>
        </w:trPr>
        <w:tc>
          <w:tcPr>
            <w:tcW w:w="3360" w:type="dxa"/>
            <w:vAlign w:val="bottom"/>
            <w:vMerge w:val="restart"/>
          </w:tcPr>
          <w:p>
            <w:pPr>
              <w:spacing w:after="0"/>
              <w:rPr>
                <w:sz w:val="20"/>
                <w:szCs w:val="20"/>
                <w:color w:val="auto"/>
              </w:rPr>
            </w:pPr>
            <w:r>
              <w:rPr>
                <w:rFonts w:ascii="Arial" w:cs="Arial" w:eastAsia="Arial" w:hAnsi="Arial"/>
                <w:sz w:val="18"/>
                <w:szCs w:val="18"/>
                <w:b w:val="1"/>
                <w:bCs w:val="1"/>
                <w:color w:val="auto"/>
              </w:rPr>
              <w:t>Jackwyn Nemerov</w:t>
            </w:r>
          </w:p>
        </w:tc>
        <w:tc>
          <w:tcPr>
            <w:tcW w:w="2680" w:type="dxa"/>
            <w:vAlign w:val="bottom"/>
          </w:tcPr>
          <w:p>
            <w:pPr>
              <w:spacing w:after="0"/>
              <w:rPr>
                <w:sz w:val="18"/>
                <w:szCs w:val="18"/>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to August 1999.</w:t>
            </w:r>
          </w:p>
        </w:tc>
        <w:tc>
          <w:tcPr>
            <w:tcW w:w="0" w:type="dxa"/>
            <w:vAlign w:val="bottom"/>
          </w:tcPr>
          <w:p>
            <w:pPr>
              <w:spacing w:after="0"/>
              <w:rPr>
                <w:sz w:val="1"/>
                <w:szCs w:val="1"/>
                <w:color w:val="auto"/>
              </w:rPr>
            </w:pPr>
          </w:p>
        </w:tc>
      </w:tr>
      <w:tr>
        <w:trPr>
          <w:trHeight w:val="216"/>
        </w:trPr>
        <w:tc>
          <w:tcPr>
            <w:tcW w:w="3360" w:type="dxa"/>
            <w:vAlign w:val="bottom"/>
            <w:vMerge w:val="continue"/>
          </w:tcPr>
          <w:p>
            <w:pPr>
              <w:spacing w:after="0"/>
              <w:rPr>
                <w:sz w:val="18"/>
                <w:szCs w:val="18"/>
                <w:color w:val="auto"/>
              </w:rPr>
            </w:pPr>
          </w:p>
        </w:tc>
        <w:tc>
          <w:tcPr>
            <w:tcW w:w="2680" w:type="dxa"/>
            <w:vAlign w:val="bottom"/>
          </w:tcPr>
          <w:p>
            <w:pPr>
              <w:jc w:val="right"/>
              <w:ind w:right="150"/>
              <w:spacing w:after="0"/>
              <w:rPr>
                <w:sz w:val="20"/>
                <w:szCs w:val="20"/>
                <w:color w:val="auto"/>
              </w:rPr>
            </w:pPr>
            <w:r>
              <w:rPr>
                <w:rFonts w:ascii="Arial" w:cs="Arial" w:eastAsia="Arial" w:hAnsi="Arial"/>
                <w:sz w:val="18"/>
                <w:szCs w:val="18"/>
                <w:color w:val="auto"/>
              </w:rPr>
              <w:t>Age 53</w:t>
            </w:r>
          </w:p>
        </w:tc>
        <w:tc>
          <w:tcPr>
            <w:tcW w:w="5380" w:type="dxa"/>
            <w:vAlign w:val="bottom"/>
          </w:tcPr>
          <w:p>
            <w:pPr>
              <w:ind w:left="240"/>
              <w:spacing w:after="0"/>
              <w:rPr>
                <w:sz w:val="20"/>
                <w:szCs w:val="20"/>
                <w:color w:val="auto"/>
              </w:rPr>
            </w:pPr>
            <w:r>
              <w:rPr>
                <w:rFonts w:ascii="Arial" w:cs="Arial" w:eastAsia="Arial" w:hAnsi="Arial"/>
                <w:sz w:val="18"/>
                <w:szCs w:val="18"/>
                <w:color w:val="auto"/>
                <w:w w:val="98"/>
              </w:rPr>
              <w:t>Ms. Nemerov has been Executive Vice President of the Company</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w w:val="95"/>
              </w:rPr>
              <w:t>since September 2004. From 1998 to 2002, she was President and</w:t>
            </w:r>
          </w:p>
        </w:tc>
        <w:tc>
          <w:tcPr>
            <w:tcW w:w="0" w:type="dxa"/>
            <w:vAlign w:val="bottom"/>
          </w:tcPr>
          <w:p>
            <w:pPr>
              <w:spacing w:after="0"/>
              <w:rPr>
                <w:sz w:val="1"/>
                <w:szCs w:val="1"/>
                <w:color w:val="auto"/>
              </w:rPr>
            </w:pPr>
          </w:p>
        </w:tc>
      </w:tr>
      <w:tr>
        <w:trPr>
          <w:trHeight w:val="216"/>
        </w:trPr>
        <w:tc>
          <w:tcPr>
            <w:tcW w:w="3360" w:type="dxa"/>
            <w:vAlign w:val="bottom"/>
            <w:vMerge w:val="restart"/>
          </w:tcPr>
          <w:p>
            <w:pPr>
              <w:spacing w:after="0"/>
              <w:rPr>
                <w:sz w:val="20"/>
                <w:szCs w:val="20"/>
                <w:color w:val="auto"/>
              </w:rPr>
            </w:pPr>
            <w:r>
              <w:rPr>
                <w:rFonts w:ascii="Arial" w:cs="Arial" w:eastAsia="Arial" w:hAnsi="Arial"/>
                <w:sz w:val="18"/>
                <w:szCs w:val="18"/>
                <w:b w:val="1"/>
                <w:bCs w:val="1"/>
                <w:color w:val="auto"/>
              </w:rPr>
              <w:t>Tracey T. Travis</w:t>
            </w:r>
          </w:p>
        </w:tc>
        <w:tc>
          <w:tcPr>
            <w:tcW w:w="2680" w:type="dxa"/>
            <w:vAlign w:val="bottom"/>
          </w:tcPr>
          <w:p>
            <w:pPr>
              <w:spacing w:after="0"/>
              <w:rPr>
                <w:sz w:val="18"/>
                <w:szCs w:val="18"/>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Chief Operating Officer of Jones Apparel Group, Inc.</w:t>
            </w:r>
          </w:p>
        </w:tc>
        <w:tc>
          <w:tcPr>
            <w:tcW w:w="0" w:type="dxa"/>
            <w:vAlign w:val="bottom"/>
          </w:tcPr>
          <w:p>
            <w:pPr>
              <w:spacing w:after="0"/>
              <w:rPr>
                <w:sz w:val="1"/>
                <w:szCs w:val="1"/>
                <w:color w:val="auto"/>
              </w:rPr>
            </w:pPr>
          </w:p>
        </w:tc>
      </w:tr>
      <w:tr>
        <w:trPr>
          <w:trHeight w:val="216"/>
        </w:trPr>
        <w:tc>
          <w:tcPr>
            <w:tcW w:w="3360" w:type="dxa"/>
            <w:vAlign w:val="bottom"/>
            <w:vMerge w:val="continue"/>
          </w:tcPr>
          <w:p>
            <w:pPr>
              <w:spacing w:after="0"/>
              <w:rPr>
                <w:sz w:val="18"/>
                <w:szCs w:val="18"/>
                <w:color w:val="auto"/>
              </w:rPr>
            </w:pPr>
          </w:p>
        </w:tc>
        <w:tc>
          <w:tcPr>
            <w:tcW w:w="2680" w:type="dxa"/>
            <w:vAlign w:val="bottom"/>
          </w:tcPr>
          <w:p>
            <w:pPr>
              <w:jc w:val="right"/>
              <w:ind w:right="150"/>
              <w:spacing w:after="0"/>
              <w:rPr>
                <w:sz w:val="20"/>
                <w:szCs w:val="20"/>
                <w:color w:val="auto"/>
              </w:rPr>
            </w:pPr>
            <w:r>
              <w:rPr>
                <w:rFonts w:ascii="Arial" w:cs="Arial" w:eastAsia="Arial" w:hAnsi="Arial"/>
                <w:sz w:val="18"/>
                <w:szCs w:val="18"/>
                <w:color w:val="auto"/>
              </w:rPr>
              <w:t>Age 42</w:t>
            </w:r>
          </w:p>
        </w:tc>
        <w:tc>
          <w:tcPr>
            <w:tcW w:w="5380" w:type="dxa"/>
            <w:vAlign w:val="bottom"/>
          </w:tcPr>
          <w:p>
            <w:pPr>
              <w:ind w:left="240"/>
              <w:spacing w:after="0"/>
              <w:rPr>
                <w:sz w:val="20"/>
                <w:szCs w:val="20"/>
                <w:color w:val="auto"/>
              </w:rPr>
            </w:pPr>
            <w:r>
              <w:rPr>
                <w:rFonts w:ascii="Arial" w:cs="Arial" w:eastAsia="Arial" w:hAnsi="Arial"/>
                <w:sz w:val="18"/>
                <w:szCs w:val="18"/>
                <w:color w:val="auto"/>
              </w:rPr>
              <w:t>Ms. Travis has been Senior Vice President of Finance and Chief</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w w:val="99"/>
              </w:rPr>
              <w:t>Financial Officer of the Company since January 2005. Ms. Travis</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w w:val="94"/>
              </w:rPr>
              <w:t>served as Senior Vice President, Finance at Limited Brands, Inc., an</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w w:val="99"/>
              </w:rPr>
              <w:t>apparel and personal care products retailer, from April 2002 until</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w w:val="96"/>
              </w:rPr>
              <w:t>August 2004, and Chief Financial Officer of Intimate Brands, Inc., a</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w w:val="96"/>
              </w:rPr>
              <w:t>women’s intimate apparel and personal care products retailer, from</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April 2001 to April 2002. Prior to that time, Ms. Travis was Chief</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w w:val="96"/>
              </w:rPr>
              <w:t>Financial Officer of the Beverage Can Americas group at American</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w w:val="95"/>
              </w:rPr>
              <w:t>National Can, a manufacturer of metal beverage cans, from 1999 to</w:t>
            </w:r>
          </w:p>
        </w:tc>
        <w:tc>
          <w:tcPr>
            <w:tcW w:w="0" w:type="dxa"/>
            <w:vAlign w:val="bottom"/>
          </w:tcPr>
          <w:p>
            <w:pPr>
              <w:spacing w:after="0"/>
              <w:rPr>
                <w:sz w:val="1"/>
                <w:szCs w:val="1"/>
                <w:color w:val="auto"/>
              </w:rPr>
            </w:pPr>
          </w:p>
        </w:tc>
      </w:tr>
      <w:tr>
        <w:trPr>
          <w:trHeight w:val="216"/>
        </w:trPr>
        <w:tc>
          <w:tcPr>
            <w:tcW w:w="3360" w:type="dxa"/>
            <w:vAlign w:val="bottom"/>
            <w:vMerge w:val="restart"/>
          </w:tcPr>
          <w:p>
            <w:pPr>
              <w:spacing w:after="0"/>
              <w:rPr>
                <w:sz w:val="20"/>
                <w:szCs w:val="20"/>
                <w:color w:val="auto"/>
              </w:rPr>
            </w:pPr>
            <w:r>
              <w:rPr>
                <w:rFonts w:ascii="Arial" w:cs="Arial" w:eastAsia="Arial" w:hAnsi="Arial"/>
                <w:sz w:val="18"/>
                <w:szCs w:val="18"/>
                <w:b w:val="1"/>
                <w:bCs w:val="1"/>
                <w:color w:val="auto"/>
              </w:rPr>
              <w:t>Mitchell A. Kosh</w:t>
            </w:r>
          </w:p>
        </w:tc>
        <w:tc>
          <w:tcPr>
            <w:tcW w:w="2680" w:type="dxa"/>
            <w:vAlign w:val="bottom"/>
          </w:tcPr>
          <w:p>
            <w:pPr>
              <w:spacing w:after="0"/>
              <w:rPr>
                <w:sz w:val="18"/>
                <w:szCs w:val="18"/>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16"/>
        </w:trPr>
        <w:tc>
          <w:tcPr>
            <w:tcW w:w="3360" w:type="dxa"/>
            <w:vAlign w:val="bottom"/>
            <w:vMerge w:val="continue"/>
          </w:tcPr>
          <w:p>
            <w:pPr>
              <w:spacing w:after="0"/>
              <w:rPr>
                <w:sz w:val="18"/>
                <w:szCs w:val="18"/>
                <w:color w:val="auto"/>
              </w:rPr>
            </w:pPr>
          </w:p>
        </w:tc>
        <w:tc>
          <w:tcPr>
            <w:tcW w:w="2680" w:type="dxa"/>
            <w:vAlign w:val="bottom"/>
          </w:tcPr>
          <w:p>
            <w:pPr>
              <w:jc w:val="right"/>
              <w:ind w:right="150"/>
              <w:spacing w:after="0"/>
              <w:rPr>
                <w:sz w:val="20"/>
                <w:szCs w:val="20"/>
                <w:color w:val="auto"/>
              </w:rPr>
            </w:pPr>
            <w:r>
              <w:rPr>
                <w:rFonts w:ascii="Arial" w:cs="Arial" w:eastAsia="Arial" w:hAnsi="Arial"/>
                <w:sz w:val="18"/>
                <w:szCs w:val="18"/>
                <w:color w:val="auto"/>
              </w:rPr>
              <w:t>Age 55</w:t>
            </w:r>
          </w:p>
        </w:tc>
        <w:tc>
          <w:tcPr>
            <w:tcW w:w="5380" w:type="dxa"/>
            <w:vAlign w:val="bottom"/>
          </w:tcPr>
          <w:p>
            <w:pPr>
              <w:ind w:left="240"/>
              <w:spacing w:after="0"/>
              <w:rPr>
                <w:sz w:val="20"/>
                <w:szCs w:val="20"/>
                <w:color w:val="auto"/>
              </w:rPr>
            </w:pPr>
            <w:r>
              <w:rPr>
                <w:rFonts w:ascii="Arial" w:cs="Arial" w:eastAsia="Arial" w:hAnsi="Arial"/>
                <w:sz w:val="18"/>
                <w:szCs w:val="18"/>
                <w:color w:val="auto"/>
                <w:w w:val="94"/>
              </w:rPr>
              <w:t>Mr. Kosh has served as Senior Vice President of Human Resources</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w w:val="94"/>
              </w:rPr>
              <w:t>and Legal since July 2000. He was Senior Vice President of Human</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w w:val="91"/>
              </w:rPr>
              <w:t>Resources of Conseco, Inc., from February 2000 to July 2000. Prior to</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that, Mr. Kosh held executive human resource positions with the</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Venator Group, Inc. starting in 1996.</w:t>
            </w:r>
          </w:p>
        </w:tc>
        <w:tc>
          <w:tcPr>
            <w:tcW w:w="0" w:type="dxa"/>
            <w:vAlign w:val="bottom"/>
          </w:tcPr>
          <w:p>
            <w:pPr>
              <w:spacing w:after="0"/>
              <w:rPr>
                <w:sz w:val="1"/>
                <w:szCs w:val="1"/>
                <w:color w:val="auto"/>
              </w:rPr>
            </w:pPr>
          </w:p>
        </w:tc>
      </w:tr>
      <w:tr>
        <w:trPr>
          <w:trHeight w:val="405"/>
        </w:trPr>
        <w:tc>
          <w:tcPr>
            <w:tcW w:w="3360" w:type="dxa"/>
            <w:vAlign w:val="bottom"/>
          </w:tcPr>
          <w:p>
            <w:pPr>
              <w:spacing w:after="0"/>
              <w:rPr>
                <w:sz w:val="24"/>
                <w:szCs w:val="24"/>
                <w:color w:val="auto"/>
              </w:rPr>
            </w:pPr>
          </w:p>
        </w:tc>
        <w:tc>
          <w:tcPr>
            <w:tcW w:w="2680" w:type="dxa"/>
            <w:vAlign w:val="bottom"/>
          </w:tcPr>
          <w:p>
            <w:pPr>
              <w:jc w:val="right"/>
              <w:ind w:right="150"/>
              <w:spacing w:after="0"/>
              <w:rPr>
                <w:sz w:val="20"/>
                <w:szCs w:val="20"/>
                <w:color w:val="auto"/>
              </w:rPr>
            </w:pPr>
            <w:r>
              <w:rPr>
                <w:rFonts w:ascii="Arial" w:cs="Arial" w:eastAsia="Arial" w:hAnsi="Arial"/>
                <w:sz w:val="18"/>
                <w:szCs w:val="18"/>
                <w:color w:val="auto"/>
              </w:rPr>
              <w:t>17</w:t>
            </w:r>
          </w:p>
        </w:tc>
        <w:tc>
          <w:tcPr>
            <w:tcW w:w="5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36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53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20" w:firstLine="267"/>
        <w:spacing w:after="0" w:line="271" w:lineRule="auto"/>
        <w:rPr>
          <w:sz w:val="20"/>
          <w:szCs w:val="20"/>
          <w:color w:val="auto"/>
        </w:rPr>
      </w:pPr>
      <w:r>
        <w:rPr>
          <w:rFonts w:ascii="Arial" w:cs="Arial" w:eastAsia="Arial" w:hAnsi="Arial"/>
          <w:sz w:val="17"/>
          <w:szCs w:val="17"/>
          <w:color w:val="auto"/>
        </w:rPr>
        <w:t>Various statements in this Form 10-K or incorporated by reference into this Form 10-K, in future filings by us with the SEC, in our press releases and in oral statements made by or with the approval of authorized personnel constitute “forward-looking statements” within the meaning of the Private Securities Litigation Reform Act of 1995. Forward-looking statements are based on current expectations and are indicated by words or phrases such as “anticipate,” “estimate,” “expect,” “project,” “we believe,” “is or remains optimistic,” “currently envisions” and similar words or phrases and involve known and unknown risks, uncertainties and other factors which may cause actual results, performance or achievements to be materially different from any future results, performance or achievements expressed or implied by such forward-looking statements. Some of the factors that could affect our financial performance or cause actual results to differ from our estimates in, or underlying, such forward-looking statements are set forth under the heading of “Risk Factors.” Forward-looking statements include statements regarding, among other items:</w:t>
      </w:r>
    </w:p>
    <w:p>
      <w:pPr>
        <w:spacing w:after="0" w:line="71" w:lineRule="exact"/>
        <w:rPr>
          <w:sz w:val="20"/>
          <w:szCs w:val="20"/>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anticipated growth strategies;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intention to introduce new products or enter into new licensing alliances;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plans to open new retail stores;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make strategic acquisitions of selected licensees;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anticipated effective tax rates in future years;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future expenditures for capital projects;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continue to maintain our brand image and reputation;</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continue to initiate cost cutting efforts and improve profitability;</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plans to expand internationally;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efforts to improve the efficiency of our distribution system.</w:t>
      </w:r>
    </w:p>
    <w:p>
      <w:pPr>
        <w:spacing w:after="0" w:line="117" w:lineRule="exact"/>
        <w:rPr>
          <w:sz w:val="20"/>
          <w:szCs w:val="20"/>
          <w:color w:val="auto"/>
        </w:rPr>
      </w:pPr>
    </w:p>
    <w:p>
      <w:pPr>
        <w:ind w:firstLine="267"/>
        <w:spacing w:after="0" w:line="255" w:lineRule="auto"/>
        <w:rPr>
          <w:sz w:val="20"/>
          <w:szCs w:val="20"/>
          <w:color w:val="auto"/>
        </w:rPr>
      </w:pPr>
      <w:r>
        <w:rPr>
          <w:rFonts w:ascii="Arial" w:cs="Arial" w:eastAsia="Arial" w:hAnsi="Arial"/>
          <w:sz w:val="18"/>
          <w:szCs w:val="18"/>
          <w:color w:val="auto"/>
        </w:rPr>
        <w:t>These forward-looking statements are based largely on our expectations and are subject to a number of risks and uncertainties, many of which are beyond our control. Actual results could differ materially from these forward-looking statements as a result of, among others, changes in the competitive marketplace, including the introduction of new products or pricing changes by our competitors, changes in the economy, and other events leading to a reduction in discretionary consumer spending. We undertake no obligation to publicly update or revise any forward-looking statements, whether as a result of new information, future events or otherwise. In light of these risks and uncertainties, we cannot assure you that the forward-looking information contained in this Form 10-K will in fact transpire.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60" w:firstLine="267"/>
        <w:spacing w:after="0" w:line="264" w:lineRule="auto"/>
        <w:rPr>
          <w:sz w:val="20"/>
          <w:szCs w:val="20"/>
          <w:color w:val="auto"/>
        </w:rPr>
      </w:pPr>
      <w:r>
        <w:rPr>
          <w:rFonts w:ascii="Arial" w:cs="Arial" w:eastAsia="Arial" w:hAnsi="Arial"/>
          <w:sz w:val="18"/>
          <w:szCs w:val="18"/>
          <w:color w:val="auto"/>
        </w:rPr>
        <w:t>The following risk factors should be read carefully in connection with evaluating our business and the forward-looking statements contained in this Form 10-K. Any of the following risks could materially adversely affect our business, our operating results, our financial condition and the actual outcome of matters as to which forward-looking statements are made in this report.</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the services of Mr. Ralph Lauren or other key personnel could have a material adverse effect on our business.</w:t>
      </w:r>
    </w:p>
    <w:p>
      <w:pPr>
        <w:spacing w:after="0" w:line="121" w:lineRule="exact"/>
        <w:rPr>
          <w:sz w:val="20"/>
          <w:szCs w:val="20"/>
          <w:color w:val="auto"/>
        </w:rPr>
      </w:pPr>
    </w:p>
    <w:p>
      <w:pPr>
        <w:ind w:right="100" w:firstLine="270"/>
        <w:spacing w:after="0" w:line="273" w:lineRule="auto"/>
        <w:rPr>
          <w:sz w:val="20"/>
          <w:szCs w:val="20"/>
          <w:color w:val="auto"/>
        </w:rPr>
      </w:pPr>
      <w:r>
        <w:rPr>
          <w:rFonts w:ascii="Arial" w:cs="Arial" w:eastAsia="Arial" w:hAnsi="Arial"/>
          <w:sz w:val="17"/>
          <w:szCs w:val="17"/>
          <w:color w:val="auto"/>
        </w:rPr>
        <w:t>Mr. Ralph Lauren’s leadership in the design, marketing and operational areas of our business has been a critical element of our success. The loss of his services, or any negative market or industry perception with respect to him or arising from his loss, could have a material adverse effect on our business. Our other executive officers and other members of senior management have substantial experience and expertise in our business and have made significant contributions to our growth and success. The unexpected loss of services of one or more of these individuals could also adversely affect us. We are not protected by a material amount of key-man or similar life insurance covering Mr. Lauren, our other executive officers and certain other members of senior management. We have entered into employment agreements with Mr. Lauren and several other of our executive officers.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substantial portion of our net sales and gross profit is derived from a small number of department store customers.</w:t>
      </w:r>
    </w:p>
    <w:p>
      <w:pPr>
        <w:spacing w:after="0" w:line="121" w:lineRule="exact"/>
        <w:rPr>
          <w:sz w:val="20"/>
          <w:szCs w:val="20"/>
          <w:color w:val="auto"/>
        </w:rPr>
      </w:pPr>
    </w:p>
    <w:p>
      <w:pPr>
        <w:ind w:firstLine="270"/>
        <w:spacing w:after="0" w:line="293" w:lineRule="auto"/>
        <w:rPr>
          <w:sz w:val="20"/>
          <w:szCs w:val="20"/>
          <w:color w:val="auto"/>
        </w:rPr>
      </w:pPr>
      <w:r>
        <w:rPr>
          <w:rFonts w:ascii="Arial" w:cs="Arial" w:eastAsia="Arial" w:hAnsi="Arial"/>
          <w:sz w:val="16"/>
          <w:szCs w:val="16"/>
          <w:color w:val="auto"/>
        </w:rPr>
        <w:t>Several of our department store customers, including some under common ownership, account for significant portions of our wholesale net sales. We believe that a substantial portion of sales of our licensed products by our domestic licensing partners, including sales made by our sales force of Ralph Lauren Home products, are also made to our largest department store customers. Our three most significant department store customers accounted for 51.1% of our wholesale net sales during Fiscal 2005, while our ten largest customers accounted for approximately 64.6% of our wholesale net sales during Fiscal 2005. The department store sector is undergoing consolidation. Two of our largest wholesale customers, Federated Department Stores, Inc. and The May Department Stores Company have entered into a merger agreement and have stated that they expect to close the merger in the third quarter of 2005.</w:t>
      </w:r>
    </w:p>
    <w:p>
      <w:pPr>
        <w:spacing w:after="0" w:line="57" w:lineRule="exact"/>
        <w:rPr>
          <w:sz w:val="20"/>
          <w:szCs w:val="20"/>
          <w:color w:val="auto"/>
        </w:rPr>
      </w:pPr>
    </w:p>
    <w:p>
      <w:pPr>
        <w:ind w:right="20" w:firstLine="267"/>
        <w:spacing w:after="0" w:line="257" w:lineRule="auto"/>
        <w:rPr>
          <w:sz w:val="20"/>
          <w:szCs w:val="20"/>
          <w:color w:val="auto"/>
        </w:rPr>
      </w:pPr>
      <w:r>
        <w:rPr>
          <w:rFonts w:ascii="Arial" w:cs="Arial" w:eastAsia="Arial" w:hAnsi="Arial"/>
          <w:sz w:val="18"/>
          <w:szCs w:val="18"/>
          <w:color w:val="auto"/>
        </w:rPr>
        <w:t>We do not enter into long-term agreements with any of our customers. Instead, we enter into a number of purchase order commitments with our customers for each of our lines every season. A decision by the controlling owner of a group of stores or any other significant customer, whether motivated by competitive conditions, financial difficulties or otherwise, to decrease the amount of merchandise purchased from us or our licensing partners or to change their manner of doing business with us or our licensing partners, could have a material adverse effect on our financial condition and results of operations. See “BUSINESS — Operations — Customers and Service.”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be negatively impacted by any financial instability of our customers.</w:t>
      </w:r>
    </w:p>
    <w:p>
      <w:pPr>
        <w:spacing w:after="0" w:line="121" w:lineRule="exact"/>
        <w:rPr>
          <w:sz w:val="20"/>
          <w:szCs w:val="20"/>
          <w:color w:val="auto"/>
        </w:rPr>
      </w:pPr>
    </w:p>
    <w:p>
      <w:pPr>
        <w:ind w:right="120" w:firstLine="267"/>
        <w:spacing w:after="0" w:line="255" w:lineRule="auto"/>
        <w:rPr>
          <w:sz w:val="20"/>
          <w:szCs w:val="20"/>
          <w:color w:val="auto"/>
        </w:rPr>
      </w:pPr>
      <w:r>
        <w:rPr>
          <w:rFonts w:ascii="Arial" w:cs="Arial" w:eastAsia="Arial" w:hAnsi="Arial"/>
          <w:sz w:val="18"/>
          <w:szCs w:val="18"/>
          <w:color w:val="auto"/>
        </w:rPr>
        <w:t>We sell our wholesale merchandise primarily to major department stores across the United States and Europe and extend credit based on an evaluation of each customer’s financial condition, usually without requiring collateral. However, the financial difficulties of a customer could cause us to curtail business with that customer. We may also assume more credit risk relating to that customer’s receivables. Three of our customers, Dillard Department Stores, Inc., Federated Department Stores, Inc. and The May Department Stores Company, in aggregate constituted 44.9% of trade accounts receivable outstanding at April 2, 2005. As noted above, Federated Stores, Inc. and The May Department Stores Company have agreed to merge. Our inability to collect on our trade accounts receivable from any one of these customers could have a material adverse effect on our business or financial condition. See “BUSINESS — Credit Control.”</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suffer as a result of a manufacturer’s inability to produce our goods on time and to our specifications.</w:t>
      </w:r>
    </w:p>
    <w:p>
      <w:pPr>
        <w:spacing w:after="0" w:line="121" w:lineRule="exact"/>
        <w:rPr>
          <w:sz w:val="20"/>
          <w:szCs w:val="20"/>
          <w:color w:val="auto"/>
        </w:rPr>
      </w:pPr>
    </w:p>
    <w:p>
      <w:pPr>
        <w:ind w:firstLine="267"/>
        <w:spacing w:after="0" w:line="273" w:lineRule="auto"/>
        <w:rPr>
          <w:sz w:val="20"/>
          <w:szCs w:val="20"/>
          <w:color w:val="auto"/>
        </w:rPr>
      </w:pPr>
      <w:r>
        <w:rPr>
          <w:rFonts w:ascii="Arial" w:cs="Arial" w:eastAsia="Arial" w:hAnsi="Arial"/>
          <w:sz w:val="17"/>
          <w:szCs w:val="17"/>
          <w:color w:val="auto"/>
        </w:rPr>
        <w:t>We do not own or operate any manufacturing facilities and depend upon independent third parties for the manufacture of all of our products. Our products are manufactured to our specifications primarily by international manufacturers. During Fiscal 2005, less than 2%, by dollar value, of our men’s and women’s products were manufactured in the United States and over 98%, by dollar value, of these products were manufactured in Asia and other countries. The inability of a manufacturer to ship orders of our products in a timely manner or to meet our quality standards could cause us to miss the delivery date requirements of our customers for those items, which could result in cancellation of orders, refusal to accept deliveries or a reduction in purchase prices, any of which could have a material adverse effect on our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suffer if we need to replace manufacturers.</w:t>
      </w:r>
    </w:p>
    <w:p>
      <w:pPr>
        <w:spacing w:after="0" w:line="121" w:lineRule="exact"/>
        <w:rPr>
          <w:sz w:val="20"/>
          <w:szCs w:val="20"/>
          <w:color w:val="auto"/>
        </w:rPr>
      </w:pPr>
    </w:p>
    <w:p>
      <w:pPr>
        <w:ind w:right="80" w:firstLine="267"/>
        <w:spacing w:after="0" w:line="255" w:lineRule="auto"/>
        <w:rPr>
          <w:sz w:val="20"/>
          <w:szCs w:val="20"/>
          <w:color w:val="auto"/>
        </w:rPr>
      </w:pPr>
      <w:r>
        <w:rPr>
          <w:rFonts w:ascii="Arial" w:cs="Arial" w:eastAsia="Arial" w:hAnsi="Arial"/>
          <w:sz w:val="18"/>
          <w:szCs w:val="18"/>
          <w:color w:val="auto"/>
        </w:rPr>
        <w:t>We compete with other companies for the production capacity of our manufacturers and import quota capacity. Some of these competitors have greater financial and other resources than we have, and thus may have an advantage in the competition for production and import quota capacity. If we experience a significant increase in demand, or if an existing manufacturer of ours must be replaced, we may have to expand our third-party manufacturing capacity. We cannot guarantee that this additional capacity will be available when required on terms that are acceptable to us. See “BUSINESS — Sourcing, Production and Quality.” We enter into a number of purchase order commitments each season specifying a time for delivery, method of payment, design and quality specifications and other standard industry provisions, but do not have long-term contracts with any manufacturer. None of the manufacturers we use produce our products exclusively.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suffer if one of our manufacturers fails to use acceptable labor practices.</w:t>
      </w:r>
    </w:p>
    <w:p>
      <w:pPr>
        <w:spacing w:after="0" w:line="121" w:lineRule="exact"/>
        <w:rPr>
          <w:sz w:val="20"/>
          <w:szCs w:val="20"/>
          <w:color w:val="auto"/>
        </w:rPr>
      </w:pPr>
    </w:p>
    <w:p>
      <w:pPr>
        <w:ind w:right="20" w:firstLine="267"/>
        <w:spacing w:after="0" w:line="291" w:lineRule="auto"/>
        <w:rPr>
          <w:sz w:val="20"/>
          <w:szCs w:val="20"/>
          <w:color w:val="auto"/>
        </w:rPr>
      </w:pPr>
      <w:r>
        <w:rPr>
          <w:rFonts w:ascii="Arial" w:cs="Arial" w:eastAsia="Arial" w:hAnsi="Arial"/>
          <w:sz w:val="16"/>
          <w:szCs w:val="16"/>
          <w:color w:val="auto"/>
        </w:rPr>
        <w:t>Two of the manufacturers engaged by us accounted for approximately 17% and 9% of our total production during Fiscal 2005. The primary production facilities of these two manufacturers are located in Asia. We require our licensing partners and independent manufacturers to operate in compliance with applicable laws and regulations. While our internal and vendor operating guidelines promote ethical business practices and our staff periodically visits and monitors the operations of our independent manufacturers, we do not control these manufacturers or their labor practices. The violation of labor or other laws by an independent manufacturer used by us or one of our licensing partners, or the divergence of an independent manufacturer’s or licensing partner’s labor practices from those generally accepted as ethical in the United States, could interrupt, or otherwise disrupt the shipment of finished products to us or damage our reputation. Any of these, in turn, could have a material adverse effect on our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subject to risks associated with importing products.</w:t>
      </w:r>
    </w:p>
    <w:p>
      <w:pPr>
        <w:spacing w:after="0" w:line="121" w:lineRule="exact"/>
        <w:rPr>
          <w:sz w:val="20"/>
          <w:szCs w:val="20"/>
          <w:color w:val="auto"/>
        </w:rPr>
      </w:pPr>
    </w:p>
    <w:p>
      <w:pPr>
        <w:ind w:right="40" w:firstLine="260"/>
        <w:spacing w:after="0" w:line="264" w:lineRule="auto"/>
        <w:rPr>
          <w:sz w:val="20"/>
          <w:szCs w:val="20"/>
          <w:color w:val="auto"/>
        </w:rPr>
      </w:pPr>
      <w:r>
        <w:rPr>
          <w:rFonts w:ascii="Arial" w:cs="Arial" w:eastAsia="Arial" w:hAnsi="Arial"/>
          <w:sz w:val="18"/>
          <w:szCs w:val="18"/>
          <w:color w:val="auto"/>
        </w:rPr>
        <w:t>As of April 2, 2005, we source a significant portion of our products outside the United States through arrangements with over 270 foreign vendors in various countries. In Fiscal 2005, approximately 98%, by dollar volume, of our products were produced outside the U.S. primarily in Asia, Europe and South America. Risks inherent in importing our products include:</w:t>
      </w:r>
    </w:p>
    <w:p>
      <w:pPr>
        <w:spacing w:after="0" w:line="73" w:lineRule="exact"/>
        <w:rPr>
          <w:sz w:val="20"/>
          <w:szCs w:val="20"/>
          <w:color w:val="auto"/>
        </w:rPr>
      </w:pPr>
    </w:p>
    <w:p>
      <w:pPr>
        <w:ind w:left="460" w:right="180" w:hanging="101"/>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quotas imposed by bilateral textile agreements with non-WTO countries. These agreements limit the amount and type of goods that may be imported annually from these countries;</w:t>
      </w:r>
    </w:p>
    <w:p>
      <w:pPr>
        <w:spacing w:after="0" w:line="75" w:lineRule="exact"/>
        <w:rPr>
          <w:rFonts w:ascii="Arial" w:cs="Arial" w:eastAsia="Arial" w:hAnsi="Arial"/>
          <w:sz w:val="18"/>
          <w:szCs w:val="18"/>
          <w:color w:val="auto"/>
        </w:rPr>
      </w:pPr>
    </w:p>
    <w:p>
      <w:pPr>
        <w:ind w:left="460" w:right="180" w:hanging="101"/>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unilateral quotas imposed by the United States in May 2005 effecting seven product categories under the China Safeguard Agreement; the EU-China Memorandum of Understanding which restricts 10 product categories of imports through 2007;</w:t>
      </w:r>
    </w:p>
    <w:p>
      <w:pPr>
        <w:spacing w:after="0" w:line="75" w:lineRule="exact"/>
        <w:rPr>
          <w:rFonts w:ascii="Arial" w:cs="Arial" w:eastAsia="Arial" w:hAnsi="Arial"/>
          <w:sz w:val="18"/>
          <w:szCs w:val="18"/>
          <w:color w:val="auto"/>
        </w:rPr>
      </w:pPr>
    </w:p>
    <w:p>
      <w:pPr>
        <w:ind w:left="460" w:right="680" w:hanging="101"/>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social, political and economic conditions or terrorist acts that could result in the disruption of trade from the countries in which our manufacturers or suppliers are located;</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imposition of additional regulations relating to imports or exports;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101"/>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imposition of additional duties, taxes and other charges on imports or exports;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fluctuations of the cost of raw materials;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delays in the delivery of cargo due to security considerations;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institution of antidumping of countervailing duty proceedings resulting in the potential assessment of special antidumping or countervailing duties; and</w:t>
      </w:r>
    </w:p>
    <w:p>
      <w:pPr>
        <w:spacing w:after="0" w:line="153" w:lineRule="exact"/>
        <w:rPr>
          <w:rFonts w:ascii="Arial" w:cs="Arial" w:eastAsia="Arial" w:hAnsi="Arial"/>
          <w:sz w:val="16"/>
          <w:szCs w:val="16"/>
          <w:color w:val="auto"/>
        </w:rPr>
      </w:pPr>
    </w:p>
    <w:p>
      <w:pPr>
        <w:ind w:left="460" w:right="20" w:hanging="101"/>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imposition of sanctions in the form of additional duties either by the United States or its trading partners to remedy perceived illegal actions by national governments; currently the EU and Canada are imposing additional duties on certain U.S. products in retaliation for the failure of the U.S. Congress to resolve the Byrd Amendment, and additional sanctions are threatened for 2006 in response to the U.S.’s failure to adequately respond to specific WTO decisions.</w:t>
      </w:r>
    </w:p>
    <w:p>
      <w:pPr>
        <w:spacing w:after="0" w:line="79" w:lineRule="exact"/>
        <w:rPr>
          <w:sz w:val="20"/>
          <w:szCs w:val="20"/>
          <w:color w:val="auto"/>
        </w:rPr>
      </w:pPr>
    </w:p>
    <w:p>
      <w:pPr>
        <w:ind w:right="720" w:firstLine="260"/>
        <w:spacing w:after="0" w:line="277" w:lineRule="auto"/>
        <w:rPr>
          <w:sz w:val="20"/>
          <w:szCs w:val="20"/>
          <w:color w:val="auto"/>
        </w:rPr>
      </w:pPr>
      <w:r>
        <w:rPr>
          <w:rFonts w:ascii="Arial" w:cs="Arial" w:eastAsia="Arial" w:hAnsi="Arial"/>
          <w:sz w:val="18"/>
          <w:szCs w:val="18"/>
          <w:color w:val="auto"/>
        </w:rPr>
        <w:t>Any one of these factors could have a material adverse effect on our financial condition and results of operations. See “BUSINESS — Sourcing, Production and Quality.”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upon the revenue generated by our licensing alliances.</w:t>
      </w:r>
    </w:p>
    <w:p>
      <w:pPr>
        <w:spacing w:after="0" w:line="121" w:lineRule="exact"/>
        <w:rPr>
          <w:sz w:val="20"/>
          <w:szCs w:val="20"/>
          <w:color w:val="auto"/>
        </w:rPr>
      </w:pPr>
    </w:p>
    <w:p>
      <w:pPr>
        <w:ind w:right="20" w:firstLine="260"/>
        <w:spacing w:after="0" w:line="271" w:lineRule="auto"/>
        <w:rPr>
          <w:sz w:val="20"/>
          <w:szCs w:val="20"/>
          <w:color w:val="auto"/>
        </w:rPr>
      </w:pPr>
      <w:r>
        <w:rPr>
          <w:rFonts w:ascii="Arial" w:cs="Arial" w:eastAsia="Arial" w:hAnsi="Arial"/>
          <w:sz w:val="17"/>
          <w:szCs w:val="17"/>
          <w:color w:val="auto"/>
        </w:rPr>
        <w:t>Approximately 53.2% of our income from operations for Fiscal 2005 was derived from licensing revenue received from our licensing partners. Approximately 33.5% of our licensing revenue for Fiscal 2005 was derived from three licensing partners. WestPoint Stevens, Inc., Impact21 and Jones Apparel Group, Inc. accounted for 14.2%, 12.1% and 7.2%, respectively. See “— Risks Related to our Business — An adverse result in the lawsuit that Jones filed against the Company could have a material effect on our results of operations and financial condition.” In June 2003, one of our licensing partners, WestPoint Stevens, Inc. and certain of its affiliates filed a voluntary petition for bankruptcy protection under Chapter 11 of the United States Bankruptcy code. WestPoint Stevens, Inc. produces bedding and bath products for our Home Collection. On December 19, 2003, the United States Bankruptcy Court approved an amended licensing agreement between WestPoint Stevens, Inc. and us. The amended agreement provides for the same royalty rate and minimum royalties that are not materially less than the previous agreement.</w:t>
      </w:r>
    </w:p>
    <w:p>
      <w:pPr>
        <w:spacing w:after="0" w:line="71" w:lineRule="exact"/>
        <w:rPr>
          <w:sz w:val="20"/>
          <w:szCs w:val="20"/>
          <w:color w:val="auto"/>
        </w:rPr>
      </w:pPr>
    </w:p>
    <w:p>
      <w:pPr>
        <w:ind w:firstLine="267"/>
        <w:spacing w:after="0" w:line="342" w:lineRule="auto"/>
        <w:rPr>
          <w:sz w:val="20"/>
          <w:szCs w:val="20"/>
          <w:color w:val="auto"/>
        </w:rPr>
      </w:pPr>
      <w:r>
        <w:rPr>
          <w:rFonts w:ascii="Arial" w:cs="Arial" w:eastAsia="Arial" w:hAnsi="Arial"/>
          <w:sz w:val="16"/>
          <w:szCs w:val="16"/>
          <w:color w:val="auto"/>
        </w:rPr>
        <w:t>We had no other licensing partner which accounted for more than 10% of our licensing revenue in Fiscal 2005. The interruption of the business of any one of our material licensing partners due to any of the factors discussed immediately below could also adversely affect our licensing revenues and net income.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our licensing partners to preserve the value of our licenses.</w:t>
      </w:r>
    </w:p>
    <w:p>
      <w:pPr>
        <w:spacing w:after="0" w:line="121" w:lineRule="exact"/>
        <w:rPr>
          <w:sz w:val="20"/>
          <w:szCs w:val="20"/>
          <w:color w:val="auto"/>
        </w:rPr>
      </w:pPr>
    </w:p>
    <w:p>
      <w:pPr>
        <w:ind w:right="40" w:firstLine="267"/>
        <w:spacing w:after="0" w:line="277" w:lineRule="auto"/>
        <w:rPr>
          <w:sz w:val="20"/>
          <w:szCs w:val="20"/>
          <w:color w:val="auto"/>
        </w:rPr>
      </w:pPr>
      <w:r>
        <w:rPr>
          <w:rFonts w:ascii="Arial" w:cs="Arial" w:eastAsia="Arial" w:hAnsi="Arial"/>
          <w:sz w:val="18"/>
          <w:szCs w:val="18"/>
          <w:color w:val="auto"/>
        </w:rPr>
        <w:t>The risks associated with our own products also apply to our licensed products in addition to any number of possible risks specific to a licensing partner’s business, including, for example, risks associated with a particular licensing partner’s ability to:</w:t>
      </w:r>
    </w:p>
    <w:p>
      <w:pPr>
        <w:spacing w:after="0" w:line="62" w:lineRule="exact"/>
        <w:rPr>
          <w:sz w:val="20"/>
          <w:szCs w:val="20"/>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capital;</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 its labor relations;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relationships with its suppliers;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 its credit risk effectively;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relationships with its customers.</w:t>
      </w:r>
    </w:p>
    <w:p>
      <w:pPr>
        <w:spacing w:after="0" w:line="117" w:lineRule="exact"/>
        <w:rPr>
          <w:sz w:val="20"/>
          <w:szCs w:val="20"/>
          <w:color w:val="auto"/>
        </w:rPr>
      </w:pPr>
    </w:p>
    <w:p>
      <w:pPr>
        <w:ind w:right="40" w:firstLine="260"/>
        <w:spacing w:after="0" w:line="302" w:lineRule="auto"/>
        <w:rPr>
          <w:sz w:val="20"/>
          <w:szCs w:val="20"/>
          <w:color w:val="auto"/>
        </w:rPr>
      </w:pPr>
      <w:r>
        <w:rPr>
          <w:rFonts w:ascii="Arial" w:cs="Arial" w:eastAsia="Arial" w:hAnsi="Arial"/>
          <w:sz w:val="16"/>
          <w:szCs w:val="16"/>
          <w:color w:val="auto"/>
        </w:rPr>
        <w:t>Although some of our license agreements prohibit licensing partners from entering into licensing arrangements with our competitors, our licensing partners generally are not precluded from offering, under other brands, the types of products covered by their license agreements with us. A substantial portion of sales of our products by our domestic licensing partners are also made to our largest customers. While we have significant control over our licensing partners’ products and advertising, we rely on our licensing partners for, among other things, operational and financial control over their businesses.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maintain licensing partners could harm our business.</w:t>
      </w:r>
    </w:p>
    <w:p>
      <w:pPr>
        <w:spacing w:after="0" w:line="121" w:lineRule="exact"/>
        <w:rPr>
          <w:sz w:val="20"/>
          <w:szCs w:val="20"/>
          <w:color w:val="auto"/>
        </w:rPr>
      </w:pPr>
    </w:p>
    <w:p>
      <w:pPr>
        <w:ind w:right="260" w:firstLine="260"/>
        <w:spacing w:after="0" w:line="264" w:lineRule="auto"/>
        <w:rPr>
          <w:sz w:val="20"/>
          <w:szCs w:val="20"/>
          <w:color w:val="auto"/>
        </w:rPr>
      </w:pPr>
      <w:r>
        <w:rPr>
          <w:rFonts w:ascii="Arial" w:cs="Arial" w:eastAsia="Arial" w:hAnsi="Arial"/>
          <w:sz w:val="18"/>
          <w:szCs w:val="18"/>
          <w:color w:val="auto"/>
        </w:rPr>
        <w:t>Although we believe in most circumstances we could replace existing licensing partners if necessary, our inability to do so for any period of time could adversely affect our revenues, both directly from reduced licensing revenue received and indirectly from reduced sales of our other products. See “Operations — Our Licensing Alliances.”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trademarks and other intellectual property rights may not be adequately protected outside the United States.</w:t>
      </w:r>
    </w:p>
    <w:p>
      <w:pPr>
        <w:spacing w:after="0" w:line="121" w:lineRule="exact"/>
        <w:rPr>
          <w:sz w:val="20"/>
          <w:szCs w:val="20"/>
          <w:color w:val="auto"/>
        </w:rPr>
      </w:pPr>
    </w:p>
    <w:p>
      <w:pPr>
        <w:ind w:right="40" w:firstLine="267"/>
        <w:spacing w:after="0" w:line="288" w:lineRule="auto"/>
        <w:rPr>
          <w:sz w:val="20"/>
          <w:szCs w:val="20"/>
          <w:color w:val="auto"/>
        </w:rPr>
      </w:pPr>
      <w:r>
        <w:rPr>
          <w:rFonts w:ascii="Arial" w:cs="Arial" w:eastAsia="Arial" w:hAnsi="Arial"/>
          <w:sz w:val="16"/>
          <w:szCs w:val="16"/>
          <w:color w:val="auto"/>
        </w:rPr>
        <w:t>We believe that our trademarks and other proprietary rights are important to our success and our competitive position. We devote substantial resources to the establishment and protection of our trademarks on a worldwide basis. In the course of our international expansion, we have, however, experienced conflicts with various third parties that have acquired or claimed ownership rights in some trademarks that include Polo and/or a representation of a polo player astride a horse, or otherwise have contested our rights to our trademarks. We have in the past successfully resolved these conflicts through both legal action and negotiated settlements, none of which, we believe, has had a material impact on our financial condition and results of operations. Nevertheless, we cannot guarantee that the actions we have taken to establish and protect our trademarks and other proprietary rights will be adequate to prevent imitation of our products by others or to prevent others from seeking to block sales of our products as a violation of the trademarks and proprietary rights of others. Also, we cannot assure you that others will not assert rights in, or ownership of, trademarks and other proprietary rights of ours or that we will be able to successfully resolve these types of conflicts to our satisfaction. In addition, the laws of certain foreign countries may not protect proprietary rights to the same extent as do the laws of the United States. See “Trademarks,” and Item 3 “LEGAL PROCEEDINGS.”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the successful implementation of our growth strategy.</w:t>
      </w:r>
    </w:p>
    <w:p>
      <w:pPr>
        <w:spacing w:after="0" w:line="121" w:lineRule="exact"/>
        <w:rPr>
          <w:sz w:val="20"/>
          <w:szCs w:val="20"/>
          <w:color w:val="auto"/>
        </w:rPr>
      </w:pPr>
    </w:p>
    <w:p>
      <w:pPr>
        <w:ind w:firstLine="260"/>
        <w:spacing w:after="0" w:line="276" w:lineRule="auto"/>
        <w:rPr>
          <w:sz w:val="20"/>
          <w:szCs w:val="20"/>
          <w:color w:val="auto"/>
        </w:rPr>
      </w:pPr>
      <w:r>
        <w:rPr>
          <w:rFonts w:ascii="Arial" w:cs="Arial" w:eastAsia="Arial" w:hAnsi="Arial"/>
          <w:sz w:val="17"/>
          <w:szCs w:val="17"/>
          <w:color w:val="auto"/>
        </w:rPr>
        <w:t>As part of our growth strategy, we seek to extend our brands, expand our geographic coverage, increase direct management of our brands by opening more of our own stores, strategically acquiring select licensees and enhancing our operations. Implementation of our strategy involves the continued expansion of our business in Europe, Asia and other international areas. We may have difficulty hiring and retaining qualified key employees or otherwise successfully managing such expansion. In addition, Europe, as a whole, lacks the large wholesale distribution channels found in the United States, and we may have difficulty developing successful distribution strategies and alliances in each of the major European countries.</w:t>
      </w:r>
    </w:p>
    <w:p>
      <w:pPr>
        <w:spacing w:after="0" w:line="64" w:lineRule="exact"/>
        <w:rPr>
          <w:sz w:val="20"/>
          <w:szCs w:val="20"/>
          <w:color w:val="auto"/>
        </w:rPr>
      </w:pPr>
    </w:p>
    <w:p>
      <w:pPr>
        <w:ind w:right="60" w:firstLine="270"/>
        <w:spacing w:after="0" w:line="312" w:lineRule="auto"/>
        <w:rPr>
          <w:sz w:val="20"/>
          <w:szCs w:val="20"/>
          <w:color w:val="auto"/>
        </w:rPr>
      </w:pPr>
      <w:r>
        <w:rPr>
          <w:rFonts w:ascii="Arial" w:cs="Arial" w:eastAsia="Arial" w:hAnsi="Arial"/>
          <w:sz w:val="16"/>
          <w:szCs w:val="16"/>
          <w:color w:val="auto"/>
        </w:rPr>
        <w:t>Implementation of our strategy also involves the continued expansion of our network of retail stores, both in the United States and abroad. We may not be able to purchase or lease desirable store locations or renew existing store leases on acceptable terms. Furthermore, we may not be able to successfully integrate the business of any licensee that we acquire into our own business or achieve any expected cost savings or synergies from such integration.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exposed to domestic and foreign currency fluctuations.</w:t>
      </w:r>
    </w:p>
    <w:p>
      <w:pPr>
        <w:spacing w:after="0" w:line="121" w:lineRule="exact"/>
        <w:rPr>
          <w:sz w:val="20"/>
          <w:szCs w:val="20"/>
          <w:color w:val="auto"/>
        </w:rPr>
      </w:pPr>
    </w:p>
    <w:p>
      <w:pPr>
        <w:ind w:right="80" w:firstLine="267"/>
        <w:spacing w:after="0" w:line="290" w:lineRule="auto"/>
        <w:rPr>
          <w:sz w:val="20"/>
          <w:szCs w:val="20"/>
          <w:color w:val="auto"/>
        </w:rPr>
      </w:pPr>
      <w:r>
        <w:rPr>
          <w:rFonts w:ascii="Arial" w:cs="Arial" w:eastAsia="Arial" w:hAnsi="Arial"/>
          <w:sz w:val="16"/>
          <w:szCs w:val="16"/>
          <w:color w:val="auto"/>
        </w:rPr>
        <w:t>We generally purchase our products in U.S. dollars. However, we source most of our products overseas. As a result, the cost of these products may be affected by changes in the value of the relevant currencies. Changes in currency exchange rates may also affect the U.S. dollar value of the foreign currency denominated prices at which our international businesses sell products. Furthermore, our international sales and licensing revenue generally is derived from sales in foreign currencies. These foreign currencies include the Japanese Yen, the Euro and the Pound Sterling, and this revenue could be materially affected by currency fluctuations. Approximately 40.9% of our licensing revenue was received from international licensing partners in Fiscal 2005. Although we hedge some exposures to changes in foreign currency exchange rates arising in the ordinary course of business, we cannot assure you that foreign currency fluctuations will not have a material adverse impact on our financial condition and results of operations. See Item 7 “MANAGEMENT’S DISCUSSION AND ANALYSIS OF FINANCIAL CONDITION AND RESULTS OF OPERATIONS — Liquidity and Capital Resources.”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conduct business in international markets may be affected by legal, regulatory, political and economic risks.</w:t>
      </w:r>
    </w:p>
    <w:p>
      <w:pPr>
        <w:spacing w:after="0" w:line="121" w:lineRule="exact"/>
        <w:rPr>
          <w:sz w:val="20"/>
          <w:szCs w:val="20"/>
          <w:color w:val="auto"/>
        </w:rPr>
      </w:pPr>
    </w:p>
    <w:p>
      <w:pPr>
        <w:ind w:right="320" w:firstLine="270"/>
        <w:spacing w:after="0" w:line="277" w:lineRule="auto"/>
        <w:rPr>
          <w:sz w:val="20"/>
          <w:szCs w:val="20"/>
          <w:color w:val="auto"/>
        </w:rPr>
      </w:pPr>
      <w:r>
        <w:rPr>
          <w:rFonts w:ascii="Arial" w:cs="Arial" w:eastAsia="Arial" w:hAnsi="Arial"/>
          <w:sz w:val="18"/>
          <w:szCs w:val="18"/>
          <w:color w:val="auto"/>
        </w:rPr>
        <w:t>Our ability to capitalize on growth in new international markets and to maintain the current level of operations in our existing international markets is subject to risks associated with international operations. These include:</w:t>
      </w:r>
    </w:p>
    <w:p>
      <w:pPr>
        <w:spacing w:after="0" w:line="62" w:lineRule="exact"/>
        <w:rPr>
          <w:sz w:val="20"/>
          <w:szCs w:val="20"/>
          <w:color w:val="auto"/>
        </w:rPr>
      </w:pPr>
    </w:p>
    <w:p>
      <w:pPr>
        <w:ind w:left="460" w:hanging="101"/>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burdens of complying with a variety of foreign laws and regulations;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 changes in regulatory requirements;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tariffs or other barriers to some international markets.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are also subject to general political and economic risks in connection with our international operations, including:</w:t>
      </w:r>
    </w:p>
    <w:p>
      <w:pPr>
        <w:spacing w:after="0" w:line="117" w:lineRule="exact"/>
        <w:rPr>
          <w:sz w:val="20"/>
          <w:szCs w:val="20"/>
          <w:color w:val="auto"/>
        </w:rPr>
      </w:pPr>
    </w:p>
    <w:p>
      <w:pPr>
        <w:ind w:left="460" w:hanging="10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instability and terrorist attacks;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diplomatic and trade relationships;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fluctuations in specific countries or markets.</w:t>
      </w:r>
    </w:p>
    <w:p>
      <w:pPr>
        <w:spacing w:after="0" w:line="117" w:lineRule="exact"/>
        <w:rPr>
          <w:sz w:val="20"/>
          <w:szCs w:val="20"/>
          <w:color w:val="auto"/>
        </w:rPr>
      </w:pPr>
    </w:p>
    <w:p>
      <w:pPr>
        <w:ind w:firstLine="267"/>
        <w:spacing w:after="0" w:line="259" w:lineRule="auto"/>
        <w:rPr>
          <w:sz w:val="20"/>
          <w:szCs w:val="20"/>
          <w:color w:val="auto"/>
        </w:rPr>
      </w:pPr>
      <w:r>
        <w:rPr>
          <w:rFonts w:ascii="Arial" w:cs="Arial" w:eastAsia="Arial" w:hAnsi="Arial"/>
          <w:sz w:val="18"/>
          <w:szCs w:val="18"/>
          <w:color w:val="auto"/>
        </w:rPr>
        <w:t>We cannot predict whether quotas, duties, taxes, or other similar restrictions will be imposed by the United States, the European Union, Japan, or other countries upon the import or export of our products in the future, or what effect any of these actions would have on our business, financial condition or results of operations. Changes in regulatory, geopolitical policies and other factors may adversely affect our business in the future or may require us to modify our current business practices.</w:t>
      </w:r>
    </w:p>
    <w:p>
      <w:pPr>
        <w:spacing w:after="0" w:line="183"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An adverse result in the lawsuit that Jones filed against the Company could have a material adverse effect on our results of operations and financial condition.</w:t>
      </w:r>
    </w:p>
    <w:p>
      <w:pPr>
        <w:spacing w:after="0" w:line="58" w:lineRule="exact"/>
        <w:rPr>
          <w:sz w:val="20"/>
          <w:szCs w:val="20"/>
          <w:color w:val="auto"/>
        </w:rPr>
      </w:pPr>
    </w:p>
    <w:p>
      <w:pPr>
        <w:ind w:right="120" w:firstLine="260"/>
        <w:spacing w:after="0" w:line="257" w:lineRule="auto"/>
        <w:rPr>
          <w:sz w:val="20"/>
          <w:szCs w:val="20"/>
          <w:color w:val="auto"/>
        </w:rPr>
      </w:pPr>
      <w:r>
        <w:rPr>
          <w:rFonts w:ascii="Arial" w:cs="Arial" w:eastAsia="Arial" w:hAnsi="Arial"/>
          <w:sz w:val="18"/>
          <w:szCs w:val="18"/>
          <w:color w:val="auto"/>
        </w:rPr>
        <w:t>As a result of the failure of Jones to meet the minimum sales volumes for the year ended December 31, 2002 under the license agreements for the sale of products under the “Ralph” trademark between us and Jones, these license agreements terminated as of December 31, 2003. We advised Jones that the termination of these licenses would automatically result in the termination of the licenses between us and Jones with respect to the “Lauren” trademark pursuant to the Cross Default and Term Extension Agreement between the Company and Jones dated May 11, 1998. The Lauren license agreements would otherwise have expired on December 31, 2006.</w:t>
      </w:r>
    </w:p>
    <w:p>
      <w:pPr>
        <w:spacing w:after="0" w:line="80" w:lineRule="exact"/>
        <w:rPr>
          <w:sz w:val="20"/>
          <w:szCs w:val="20"/>
          <w:color w:val="auto"/>
        </w:rPr>
      </w:pPr>
    </w:p>
    <w:p>
      <w:pPr>
        <w:ind w:right="80" w:firstLine="270"/>
        <w:spacing w:after="0" w:line="254" w:lineRule="auto"/>
        <w:rPr>
          <w:sz w:val="20"/>
          <w:szCs w:val="20"/>
          <w:color w:val="auto"/>
        </w:rPr>
      </w:pPr>
      <w:r>
        <w:rPr>
          <w:rFonts w:ascii="Arial" w:cs="Arial" w:eastAsia="Arial" w:hAnsi="Arial"/>
          <w:sz w:val="18"/>
          <w:szCs w:val="18"/>
          <w:color w:val="auto"/>
        </w:rPr>
        <w:t>On June 3, 2003, Jones filed a lawsuit against us in the Supreme Court of the State of New York alleging, among other things, that we breached our agreements with Jones with respect to the “Lauren” trademark by asserting our rights pursuant to the Cross Default and Term Extension Agreement, and that we induced Ms. Jackwyn Nemerov, the former President of Jones, to breach the non-compete and confidentiality clauses in Ms. Nemerov’s employment agreement with Jones. Jones stated that it would treat the Lauren license agreements as terminated as of December 31, 2003, and is seeking compensatory damages of $550.0 million, punitive damages and enforcement of the provisions of Ms. Nemerov’s agreement. Also on June 3, 2003, we filed a lawsuit against Jones in the Supreme Court of the State of New York seeking, among other things, an injunction and a declaratory judgement that the Lauren license agreements terminated as of December 31, 2003 pursuant to the terms of the Cross Default and Term Extension Agreement. The two lawsuits have been consolidated.</w:t>
      </w:r>
    </w:p>
    <w:p>
      <w:pPr>
        <w:spacing w:after="0" w:line="84" w:lineRule="exact"/>
        <w:rPr>
          <w:sz w:val="20"/>
          <w:szCs w:val="20"/>
          <w:color w:val="auto"/>
        </w:rPr>
      </w:pPr>
    </w:p>
    <w:p>
      <w:pPr>
        <w:ind w:right="20" w:firstLine="270"/>
        <w:spacing w:after="0" w:line="273" w:lineRule="auto"/>
        <w:rPr>
          <w:sz w:val="20"/>
          <w:szCs w:val="20"/>
          <w:color w:val="auto"/>
        </w:rPr>
      </w:pPr>
      <w:r>
        <w:rPr>
          <w:rFonts w:ascii="Arial" w:cs="Arial" w:eastAsia="Arial" w:hAnsi="Arial"/>
          <w:sz w:val="17"/>
          <w:szCs w:val="17"/>
          <w:color w:val="auto"/>
        </w:rPr>
        <w:t>On July 3, 2003, we filed a motion to dismiss Jones’ claims regarding breach of the “Lauren” agreements and a motion to stay the claims regarding Ms. Nemerov pending the arbitration of Jones’ dispute with Ms. Nemerov. On July 23, 2003, Jones filed a motion for summary judgement in our action against Jones, and on August 12, 2003, we filed a cross-motion for summary judgement. On March 18, 2004, the Court entered orders (i) denying our motion to dismiss Jones’ claims against us for breach of the Lauren agreements and (ii) granted Jones’ motion for summary judgement in our action for declaratory judgement the Lauren Agreements terminated on December 31, 2003 and dismissed our complaint. The order also stayed Jones’ claim against us relating to Ms. Nemerov pending arbitration regarding her alleged breach of her employment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agreement. On August 24, 2004, the Court denied our motion to reconsider its decision and we appealed the orders.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On March 24, 2005, the Appellate Division of the Supreme Court affirmed the lower Court’s orders. On April 22, 2005, we filed a motion with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Appellate Division for reargument and/or permission to appeal its decision to the New York Court of Appeals. On June 23, 2005, the Appellate Division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denied our request for reargument, but granted our motion for leave to appeal to the Court of Appeals. If the Court of Appeals does not reverse the Appellate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Division’s decision, the case will go back to the lower Court for a trial on damages. Although we intend to continue to defend the case vigorously, in light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Appellate Division’s decision we recorded a reserve of $100.0 million during Fiscal 2005, which reduced Fiscal 2005 Income from operations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$399.7 million to $299.7 million. This charge represents management’s best estimate at this time of the loss incurred. No discovery has been held,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ultimate outcome of this matter could differ materially from the reserved amount.</w:t>
      </w:r>
    </w:p>
    <w:p>
      <w:pPr>
        <w:spacing w:after="0" w:line="31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Risks Relating to the Industry in Which We Compete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intense competition in the worldwide apparel industry.</w:t>
      </w:r>
    </w:p>
    <w:p>
      <w:pPr>
        <w:spacing w:after="0" w:line="121" w:lineRule="exact"/>
        <w:rPr>
          <w:sz w:val="20"/>
          <w:szCs w:val="20"/>
          <w:color w:val="auto"/>
        </w:rPr>
      </w:pPr>
    </w:p>
    <w:p>
      <w:pPr>
        <w:ind w:right="40" w:firstLine="267"/>
        <w:spacing w:after="0" w:line="264" w:lineRule="auto"/>
        <w:rPr>
          <w:sz w:val="20"/>
          <w:szCs w:val="20"/>
          <w:color w:val="auto"/>
        </w:rPr>
      </w:pPr>
      <w:r>
        <w:rPr>
          <w:rFonts w:ascii="Arial" w:cs="Arial" w:eastAsia="Arial" w:hAnsi="Arial"/>
          <w:sz w:val="18"/>
          <w:szCs w:val="18"/>
          <w:color w:val="auto"/>
        </w:rPr>
        <w:t>We face a variety of competitive challenges from other domestic and foreign fashion-oriented apparel and casual apparel producers, some of which may be significantly larger and more diversified and have greater financial and marketing resources than we have. We compete with these companies primarily on the basis of:</w:t>
      </w:r>
    </w:p>
    <w:p>
      <w:pPr>
        <w:spacing w:after="0" w:line="73" w:lineRule="exact"/>
        <w:rPr>
          <w:sz w:val="20"/>
          <w:szCs w:val="20"/>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anticipating and responding to changing consumer demands in a timely manner;</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favorable brand recognition;</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developing innovative, high-quality products in sizes, colors and styles that appeal to consumers;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appropriately pricing products;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providing strong and effective marketing support;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creating an acceptable value proposition for retail customers;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ensuring product availability and optimizing supply chain efficiencies with manufacturers and retailers;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sufficient retail floor space and effective presentation of our products at retail.</w:t>
      </w:r>
    </w:p>
    <w:p>
      <w:pPr>
        <w:spacing w:after="0" w:line="117" w:lineRule="exact"/>
        <w:rPr>
          <w:sz w:val="20"/>
          <w:szCs w:val="20"/>
          <w:color w:val="auto"/>
        </w:rPr>
      </w:pPr>
    </w:p>
    <w:p>
      <w:pPr>
        <w:ind w:right="100" w:firstLine="267"/>
        <w:spacing w:after="0" w:line="264" w:lineRule="auto"/>
        <w:rPr>
          <w:sz w:val="20"/>
          <w:szCs w:val="20"/>
          <w:color w:val="auto"/>
        </w:rPr>
      </w:pPr>
      <w:r>
        <w:rPr>
          <w:rFonts w:ascii="Arial" w:cs="Arial" w:eastAsia="Arial" w:hAnsi="Arial"/>
          <w:sz w:val="18"/>
          <w:szCs w:val="18"/>
          <w:color w:val="auto"/>
        </w:rPr>
        <w:t>We also face competition from companies selling apparel and home products through the Internet. Although our Ralph Lauren Media, LLC joint venture does sell our products through the internet, increased competition in the worldwide apparel, accessories and home product industries from Internet-based competitors could reduce our sales, prices and margins and adversely affect our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success of our business depends on our ability to respond to constantly changing fashion trends and consumer demands.</w:t>
      </w:r>
    </w:p>
    <w:p>
      <w:pPr>
        <w:spacing w:after="0" w:line="121"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color w:val="auto"/>
        </w:rPr>
        <w:t>Our success depends in large part on our ability to originate and define fashion product and home product trends, as well as to anticipate, gauge and react to changing consumer demands in a timely manner. Our products must appeal to a broad range of consumers whose preferences cannot be predicted with certainty and are subject to rapid change. We cannot assure you that we will be able to continue to develop appealing styles or successfully meet constantly changing consumer demands in the future. In addition, we cannot assure you that any new products or brands that we introduce will be successfully received by consumers. Any failure on our part to anticipate, identify and respond effectively to changing consumer demands and fashion trends could adversely affect retail and consumer acceptance of our products and leave us with a substantial amount of unsold inventory or missed opportunities. If that occurs, we may be forced to rely on markdowns or promotional sales to dispose of excess, slow-moving inventory, which may harm our business. At the same time, our focus on tight management of inventory may result, from time to time, in our not having an adequate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supply of products to meet consumer demand and cause us to lose sales. See “BUSINESS — Sourcing, Production and Quality.”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downturn in the economy may affect consumer purchases of discretionary items and luxury retail products, which could adversely affect our sales.</w:t>
      </w:r>
    </w:p>
    <w:p>
      <w:pPr>
        <w:spacing w:after="0" w:line="144" w:lineRule="exact"/>
        <w:rPr>
          <w:sz w:val="20"/>
          <w:szCs w:val="20"/>
          <w:color w:val="auto"/>
        </w:rPr>
      </w:pPr>
    </w:p>
    <w:p>
      <w:pPr>
        <w:ind w:firstLine="267"/>
        <w:spacing w:after="0" w:line="277" w:lineRule="auto"/>
        <w:rPr>
          <w:sz w:val="20"/>
          <w:szCs w:val="20"/>
          <w:color w:val="auto"/>
        </w:rPr>
      </w:pPr>
      <w:r>
        <w:rPr>
          <w:rFonts w:ascii="Arial" w:cs="Arial" w:eastAsia="Arial" w:hAnsi="Arial"/>
          <w:sz w:val="18"/>
          <w:szCs w:val="18"/>
          <w:color w:val="auto"/>
        </w:rPr>
        <w:t>The industries in which we operate are cyclical. Many factors affect the level of consumer spending in the apparel, cosmetic, fragrance and home products industries, including, among others:</w:t>
      </w:r>
    </w:p>
    <w:p>
      <w:pPr>
        <w:spacing w:after="0" w:line="62" w:lineRule="exact"/>
        <w:rPr>
          <w:sz w:val="20"/>
          <w:szCs w:val="20"/>
          <w:color w:val="auto"/>
        </w:rPr>
      </w:pPr>
    </w:p>
    <w:p>
      <w:pPr>
        <w:ind w:left="460" w:hanging="101"/>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business conditions;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consumer credit;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taxation;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consumer confidence in future economic conditions.</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Consumer purchases of discretionary items and luxury retail products, including our products, may decline during recessionary periods and at other times when disposable income is lower. A downturn in the economies in which we, or our licensing partners, sell our products, may adversely affect our revenues. The current economic conditions have and may continue to adversely affect consumer spending and sales of our products.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suffer as a result of consolidations, restructurings and other ownership changes in the retail industry.</w:t>
      </w:r>
    </w:p>
    <w:p>
      <w:pPr>
        <w:spacing w:after="0" w:line="121"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In recent years, the retail industry has experienced significant consolidation and other ownership changes. Two of our largest customers, Federated Department Stores, Inc. and The May Department Stores Company have agreed to merge. Some of our customers have operated under the protection of the federal bankruptcy laws. In the future, retailers in the United States and in foreign markets may undergo changes that could decrease the number of stores that carry our products or increase the ownership concentration within the retail industry, including:</w:t>
      </w:r>
    </w:p>
    <w:p>
      <w:pPr>
        <w:spacing w:after="0" w:line="79" w:lineRule="exact"/>
        <w:rPr>
          <w:sz w:val="20"/>
          <w:szCs w:val="20"/>
          <w:color w:val="auto"/>
        </w:rPr>
      </w:pPr>
    </w:p>
    <w:p>
      <w:pPr>
        <w:ind w:left="460" w:hanging="101"/>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consolidating their operations;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undergoing restructurings;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undergoing reorganizations; or</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realigning their affiliations.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While to date these changes in the retail industry have not had a material adverse effect on our business or financial condition, our business could be materially affected by these changes in the future. See “— Risks Related to Our Business — A substantial portion of our net sales and gross profit is derived from a small number of department store customers.”</w:t>
      </w:r>
    </w:p>
    <w:p>
      <w:pPr>
        <w:spacing w:after="0" w:line="1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ind w:right="160" w:firstLine="270"/>
        <w:spacing w:after="0" w:line="259" w:lineRule="auto"/>
        <w:rPr>
          <w:sz w:val="20"/>
          <w:szCs w:val="20"/>
          <w:color w:val="auto"/>
        </w:rPr>
      </w:pPr>
      <w:r>
        <w:rPr>
          <w:rFonts w:ascii="Arial" w:cs="Arial" w:eastAsia="Arial" w:hAnsi="Arial"/>
          <w:sz w:val="18"/>
          <w:szCs w:val="18"/>
          <w:color w:val="auto"/>
        </w:rPr>
        <w:t>Our distribution and administrative functions are conducted in both leased and owned facilities. We also lease space for our retail and outlet stores, showrooms, and warehouse and office space in various domestic and international locations. We do not own any real property except for our distribution facility in Greensboro, North Carolina and a parcel of land adjacent to the facility, and Polo Ralph Lauren stores in Southampton, New York and Nantucket, Massachusetts.</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Ralph Lauren Media has entered into an agreement with ValueVision to perform its entire warehousing and order fulfillment and call center functions.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ValueVision, which operates ShopNBC, and the National Broadcasting Company are our joint venture partners in Ralph Lauren Media.</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sets forth information with respect to our key properties: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p>
        </w:tc>
        <w:tc>
          <w:tcPr>
            <w:tcW w:w="280" w:type="dxa"/>
            <w:vAlign w:val="bottom"/>
          </w:tcPr>
          <w:p>
            <w:pPr>
              <w:spacing w:after="0"/>
              <w:rPr>
                <w:sz w:val="14"/>
                <w:szCs w:val="14"/>
                <w:color w:val="auto"/>
              </w:rPr>
            </w:pPr>
          </w:p>
        </w:tc>
        <w:tc>
          <w:tcPr>
            <w:tcW w:w="284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Use</w:t>
            </w:r>
          </w:p>
        </w:tc>
        <w:tc>
          <w:tcPr>
            <w:tcW w:w="260" w:type="dxa"/>
            <w:vAlign w:val="bottom"/>
          </w:tcPr>
          <w:p>
            <w:pPr>
              <w:spacing w:after="0"/>
              <w:rPr>
                <w:sz w:val="14"/>
                <w:szCs w:val="14"/>
                <w:color w:val="auto"/>
              </w:rPr>
            </w:pPr>
          </w:p>
        </w:tc>
        <w:tc>
          <w:tcPr>
            <w:tcW w:w="212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Approximate</w:t>
            </w:r>
          </w:p>
        </w:tc>
        <w:tc>
          <w:tcPr>
            <w:tcW w:w="2240" w:type="dxa"/>
            <w:vAlign w:val="bottom"/>
            <w:gridSpan w:val="2"/>
          </w:tcPr>
          <w:p>
            <w:pPr>
              <w:ind w:left="480"/>
              <w:spacing w:after="0"/>
              <w:rPr>
                <w:sz w:val="20"/>
                <w:szCs w:val="20"/>
                <w:color w:val="auto"/>
              </w:rPr>
            </w:pPr>
            <w:r>
              <w:rPr>
                <w:rFonts w:ascii="Arial" w:cs="Arial" w:eastAsia="Arial" w:hAnsi="Arial"/>
                <w:sz w:val="14"/>
                <w:szCs w:val="14"/>
                <w:b w:val="1"/>
                <w:bCs w:val="1"/>
                <w:color w:val="auto"/>
              </w:rPr>
              <w:t>Current Lease Term</w:t>
            </w:r>
          </w:p>
        </w:tc>
        <w:tc>
          <w:tcPr>
            <w:tcW w:w="0" w:type="dxa"/>
            <w:vAlign w:val="bottom"/>
          </w:tcPr>
          <w:p>
            <w:pPr>
              <w:spacing w:after="0"/>
              <w:rPr>
                <w:sz w:val="1"/>
                <w:szCs w:val="1"/>
                <w:color w:val="auto"/>
              </w:rPr>
            </w:pPr>
          </w:p>
        </w:tc>
      </w:tr>
      <w:tr>
        <w:trPr>
          <w:trHeight w:val="171"/>
        </w:trPr>
        <w:tc>
          <w:tcPr>
            <w:tcW w:w="30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8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2"/>
          </w:tcPr>
          <w:p>
            <w:pPr>
              <w:jc w:val="right"/>
              <w:ind w:right="1220"/>
              <w:spacing w:after="0"/>
              <w:rPr>
                <w:sz w:val="20"/>
                <w:szCs w:val="20"/>
                <w:color w:val="auto"/>
              </w:rPr>
            </w:pPr>
            <w:r>
              <w:rPr>
                <w:rFonts w:ascii="Arial" w:cs="Arial" w:eastAsia="Arial" w:hAnsi="Arial"/>
                <w:sz w:val="14"/>
                <w:szCs w:val="14"/>
                <w:b w:val="1"/>
                <w:bCs w:val="1"/>
                <w:color w:val="auto"/>
              </w:rPr>
              <w:t>Sq. Ft.</w:t>
            </w:r>
          </w:p>
        </w:tc>
        <w:tc>
          <w:tcPr>
            <w:tcW w:w="2240" w:type="dxa"/>
            <w:vAlign w:val="bottom"/>
            <w:gridSpan w:val="2"/>
          </w:tcPr>
          <w:p>
            <w:pPr>
              <w:ind w:left="78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09"/>
        </w:trPr>
        <w:tc>
          <w:tcPr>
            <w:tcW w:w="30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Greensboro, N.C.</w:t>
            </w:r>
          </w:p>
        </w:tc>
        <w:tc>
          <w:tcPr>
            <w:tcW w:w="280" w:type="dxa"/>
            <w:vAlign w:val="bottom"/>
          </w:tcPr>
          <w:p>
            <w:pPr>
              <w:spacing w:after="0"/>
              <w:rPr>
                <w:sz w:val="18"/>
                <w:szCs w:val="18"/>
                <w:color w:val="auto"/>
              </w:rPr>
            </w:pPr>
          </w:p>
        </w:tc>
        <w:tc>
          <w:tcPr>
            <w:tcW w:w="2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Distribution Facility</w:t>
            </w:r>
          </w:p>
        </w:tc>
        <w:tc>
          <w:tcPr>
            <w:tcW w:w="26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1,500,000</w:t>
            </w:r>
          </w:p>
        </w:tc>
        <w:tc>
          <w:tcPr>
            <w:tcW w:w="720" w:type="dxa"/>
            <w:vAlign w:val="bottom"/>
          </w:tcPr>
          <w:p>
            <w:pPr>
              <w:spacing w:after="0"/>
              <w:rPr>
                <w:sz w:val="18"/>
                <w:szCs w:val="18"/>
                <w:color w:val="auto"/>
              </w:rPr>
            </w:pPr>
          </w:p>
        </w:tc>
        <w:tc>
          <w:tcPr>
            <w:tcW w:w="2220" w:type="dxa"/>
            <w:vAlign w:val="bottom"/>
            <w:tcBorders>
              <w:top w:val="single" w:sz="8" w:color="auto"/>
            </w:tcBorders>
          </w:tcPr>
          <w:p>
            <w:pPr>
              <w:ind w:left="1700"/>
              <w:spacing w:after="0"/>
              <w:rPr>
                <w:sz w:val="20"/>
                <w:szCs w:val="20"/>
                <w:color w:val="auto"/>
              </w:rPr>
            </w:pPr>
            <w:r>
              <w:rPr>
                <w:rFonts w:ascii="Arial" w:cs="Arial" w:eastAsia="Arial" w:hAnsi="Arial"/>
                <w:sz w:val="18"/>
                <w:szCs w:val="18"/>
                <w:color w:val="auto"/>
                <w:w w:val="87"/>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w w:val="93"/>
              </w:rPr>
              <w:t>650</w:t>
            </w:r>
          </w:p>
        </w:tc>
        <w:tc>
          <w:tcPr>
            <w:tcW w:w="2700" w:type="dxa"/>
            <w:vAlign w:val="bottom"/>
          </w:tcPr>
          <w:p>
            <w:pPr>
              <w:ind w:left="20"/>
              <w:spacing w:after="0"/>
              <w:rPr>
                <w:sz w:val="20"/>
                <w:szCs w:val="20"/>
                <w:color w:val="auto"/>
              </w:rPr>
            </w:pPr>
            <w:r>
              <w:rPr>
                <w:rFonts w:ascii="Arial" w:cs="Arial" w:eastAsia="Arial" w:hAnsi="Arial"/>
                <w:sz w:val="18"/>
                <w:szCs w:val="18"/>
                <w:color w:val="auto"/>
              </w:rPr>
              <w:t>Madison Avenue, NYC</w:t>
            </w:r>
          </w:p>
        </w:tc>
        <w:tc>
          <w:tcPr>
            <w:tcW w:w="2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w w:val="92"/>
              </w:rPr>
              <w:t>Executive, corporate office and design</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studio, Polo Brand showrooms</w:t>
            </w:r>
          </w:p>
        </w:tc>
        <w:tc>
          <w:tcPr>
            <w:tcW w:w="2380" w:type="dxa"/>
            <w:vAlign w:val="bottom"/>
            <w:gridSpan w:val="3"/>
          </w:tcPr>
          <w:p>
            <w:pPr>
              <w:jc w:val="right"/>
              <w:ind w:right="720"/>
              <w:spacing w:after="0"/>
              <w:rPr>
                <w:sz w:val="20"/>
                <w:szCs w:val="20"/>
                <w:color w:val="auto"/>
              </w:rPr>
            </w:pPr>
            <w:r>
              <w:rPr>
                <w:rFonts w:ascii="Arial" w:cs="Arial" w:eastAsia="Arial" w:hAnsi="Arial"/>
                <w:sz w:val="18"/>
                <w:szCs w:val="18"/>
                <w:color w:val="auto"/>
              </w:rPr>
              <w:t>206,000</w:t>
            </w:r>
          </w:p>
        </w:tc>
        <w:tc>
          <w:tcPr>
            <w:tcW w:w="2240" w:type="dxa"/>
            <w:vAlign w:val="bottom"/>
            <w:gridSpan w:val="2"/>
          </w:tcPr>
          <w:p>
            <w:pPr>
              <w:ind w:left="800"/>
              <w:spacing w:after="0"/>
              <w:rPr>
                <w:sz w:val="20"/>
                <w:szCs w:val="20"/>
                <w:color w:val="auto"/>
              </w:rPr>
            </w:pPr>
            <w:r>
              <w:rPr>
                <w:rFonts w:ascii="Arial" w:cs="Arial" w:eastAsia="Arial" w:hAnsi="Arial"/>
                <w:sz w:val="18"/>
                <w:szCs w:val="18"/>
                <w:color w:val="auto"/>
                <w:w w:val="89"/>
              </w:rPr>
              <w:t>December 31, 2009</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Lyndhurst, N.J.</w:t>
            </w:r>
          </w:p>
        </w:tc>
        <w:tc>
          <w:tcPr>
            <w:tcW w:w="2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Corporate and retail administrative</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offices</w:t>
            </w:r>
          </w:p>
        </w:tc>
        <w:tc>
          <w:tcPr>
            <w:tcW w:w="2380" w:type="dxa"/>
            <w:vAlign w:val="bottom"/>
            <w:gridSpan w:val="3"/>
          </w:tcPr>
          <w:p>
            <w:pPr>
              <w:jc w:val="right"/>
              <w:ind w:right="720"/>
              <w:spacing w:after="0"/>
              <w:rPr>
                <w:sz w:val="20"/>
                <w:szCs w:val="20"/>
                <w:color w:val="auto"/>
              </w:rPr>
            </w:pPr>
            <w:r>
              <w:rPr>
                <w:rFonts w:ascii="Arial" w:cs="Arial" w:eastAsia="Arial" w:hAnsi="Arial"/>
                <w:sz w:val="18"/>
                <w:szCs w:val="18"/>
                <w:color w:val="auto"/>
              </w:rPr>
              <w:t>162,000</w:t>
            </w:r>
          </w:p>
        </w:tc>
        <w:tc>
          <w:tcPr>
            <w:tcW w:w="2240" w:type="dxa"/>
            <w:vAlign w:val="bottom"/>
            <w:gridSpan w:val="2"/>
          </w:tcPr>
          <w:p>
            <w:pPr>
              <w:ind w:left="800"/>
              <w:spacing w:after="0"/>
              <w:rPr>
                <w:sz w:val="20"/>
                <w:szCs w:val="20"/>
                <w:color w:val="auto"/>
              </w:rPr>
            </w:pPr>
            <w:r>
              <w:rPr>
                <w:rFonts w:ascii="Arial" w:cs="Arial" w:eastAsia="Arial" w:hAnsi="Arial"/>
                <w:sz w:val="18"/>
                <w:szCs w:val="18"/>
                <w:color w:val="auto"/>
                <w:w w:val="96"/>
              </w:rPr>
              <w:t>February 28, 2008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w w:val="93"/>
              </w:rPr>
              <w:t>550</w:t>
            </w:r>
          </w:p>
        </w:tc>
        <w:tc>
          <w:tcPr>
            <w:tcW w:w="2700" w:type="dxa"/>
            <w:vAlign w:val="bottom"/>
          </w:tcPr>
          <w:p>
            <w:pPr>
              <w:ind w:left="20"/>
              <w:spacing w:after="0"/>
              <w:rPr>
                <w:sz w:val="20"/>
                <w:szCs w:val="20"/>
                <w:color w:val="auto"/>
              </w:rPr>
            </w:pPr>
            <w:r>
              <w:rPr>
                <w:rFonts w:ascii="Arial" w:cs="Arial" w:eastAsia="Arial" w:hAnsi="Arial"/>
                <w:sz w:val="18"/>
                <w:szCs w:val="18"/>
                <w:color w:val="auto"/>
              </w:rPr>
              <w:t>7th Avenue, NYC</w:t>
            </w:r>
          </w:p>
        </w:tc>
        <w:tc>
          <w:tcPr>
            <w:tcW w:w="2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Corporate office, design studio and</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Women’s showrooms</w:t>
            </w:r>
          </w:p>
        </w:tc>
        <w:tc>
          <w:tcPr>
            <w:tcW w:w="2380" w:type="dxa"/>
            <w:vAlign w:val="bottom"/>
            <w:gridSpan w:val="3"/>
          </w:tcPr>
          <w:p>
            <w:pPr>
              <w:jc w:val="right"/>
              <w:ind w:right="720"/>
              <w:spacing w:after="0"/>
              <w:rPr>
                <w:sz w:val="20"/>
                <w:szCs w:val="20"/>
                <w:color w:val="auto"/>
              </w:rPr>
            </w:pPr>
            <w:r>
              <w:rPr>
                <w:rFonts w:ascii="Arial" w:cs="Arial" w:eastAsia="Arial" w:hAnsi="Arial"/>
                <w:sz w:val="18"/>
                <w:szCs w:val="18"/>
                <w:color w:val="auto"/>
              </w:rPr>
              <w:t>70,000</w:t>
            </w:r>
          </w:p>
        </w:tc>
        <w:tc>
          <w:tcPr>
            <w:tcW w:w="2240" w:type="dxa"/>
            <w:vAlign w:val="bottom"/>
            <w:gridSpan w:val="2"/>
          </w:tcPr>
          <w:p>
            <w:pPr>
              <w:ind w:left="800"/>
              <w:spacing w:after="0"/>
              <w:rPr>
                <w:sz w:val="20"/>
                <w:szCs w:val="20"/>
                <w:color w:val="auto"/>
              </w:rPr>
            </w:pPr>
            <w:r>
              <w:rPr>
                <w:rFonts w:ascii="Arial" w:cs="Arial" w:eastAsia="Arial" w:hAnsi="Arial"/>
                <w:sz w:val="18"/>
                <w:szCs w:val="18"/>
                <w:color w:val="auto"/>
                <w:w w:val="89"/>
              </w:rPr>
              <w:t>December 31, 2018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w w:val="93"/>
              </w:rPr>
              <w:t>625</w:t>
            </w:r>
          </w:p>
        </w:tc>
        <w:tc>
          <w:tcPr>
            <w:tcW w:w="2700" w:type="dxa"/>
            <w:vAlign w:val="bottom"/>
          </w:tcPr>
          <w:p>
            <w:pPr>
              <w:ind w:left="20"/>
              <w:spacing w:after="0"/>
              <w:rPr>
                <w:sz w:val="20"/>
                <w:szCs w:val="20"/>
                <w:color w:val="auto"/>
              </w:rPr>
            </w:pPr>
            <w:r>
              <w:rPr>
                <w:rFonts w:ascii="Arial" w:cs="Arial" w:eastAsia="Arial" w:hAnsi="Arial"/>
                <w:sz w:val="18"/>
                <w:szCs w:val="18"/>
                <w:color w:val="auto"/>
              </w:rPr>
              <w:t>Madison Avenue, NYC</w:t>
            </w:r>
          </w:p>
        </w:tc>
        <w:tc>
          <w:tcPr>
            <w:tcW w:w="2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Corporate offices</w:t>
            </w:r>
          </w:p>
        </w:tc>
        <w:tc>
          <w:tcPr>
            <w:tcW w:w="2380" w:type="dxa"/>
            <w:vAlign w:val="bottom"/>
            <w:gridSpan w:val="3"/>
          </w:tcPr>
          <w:p>
            <w:pPr>
              <w:jc w:val="right"/>
              <w:ind w:right="720"/>
              <w:spacing w:after="0"/>
              <w:rPr>
                <w:sz w:val="20"/>
                <w:szCs w:val="20"/>
                <w:color w:val="auto"/>
              </w:rPr>
            </w:pPr>
            <w:r>
              <w:rPr>
                <w:rFonts w:ascii="Arial" w:cs="Arial" w:eastAsia="Arial" w:hAnsi="Arial"/>
                <w:sz w:val="18"/>
                <w:szCs w:val="18"/>
                <w:color w:val="auto"/>
              </w:rPr>
              <w:t>33,000</w:t>
            </w:r>
          </w:p>
        </w:tc>
        <w:tc>
          <w:tcPr>
            <w:tcW w:w="2240" w:type="dxa"/>
            <w:vAlign w:val="bottom"/>
            <w:gridSpan w:val="2"/>
          </w:tcPr>
          <w:p>
            <w:pPr>
              <w:ind w:left="800"/>
              <w:spacing w:after="0"/>
              <w:rPr>
                <w:sz w:val="20"/>
                <w:szCs w:val="20"/>
                <w:color w:val="auto"/>
              </w:rPr>
            </w:pPr>
            <w:r>
              <w:rPr>
                <w:rFonts w:ascii="Arial" w:cs="Arial" w:eastAsia="Arial" w:hAnsi="Arial"/>
                <w:sz w:val="18"/>
                <w:szCs w:val="18"/>
                <w:color w:val="auto"/>
                <w:w w:val="89"/>
              </w:rPr>
              <w:t>December 31, 2019</w:t>
            </w:r>
          </w:p>
        </w:tc>
        <w:tc>
          <w:tcPr>
            <w:tcW w:w="0" w:type="dxa"/>
            <w:vAlign w:val="bottom"/>
          </w:tcPr>
          <w:p>
            <w:pPr>
              <w:spacing w:after="0"/>
              <w:rPr>
                <w:sz w:val="1"/>
                <w:szCs w:val="1"/>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Geneva, Switzerland</w:t>
            </w:r>
          </w:p>
        </w:tc>
        <w:tc>
          <w:tcPr>
            <w:tcW w:w="28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European corporate offices</w:t>
            </w:r>
          </w:p>
        </w:tc>
        <w:tc>
          <w:tcPr>
            <w:tcW w:w="2380" w:type="dxa"/>
            <w:vAlign w:val="bottom"/>
            <w:gridSpan w:val="3"/>
          </w:tcPr>
          <w:p>
            <w:pPr>
              <w:jc w:val="right"/>
              <w:ind w:right="720"/>
              <w:spacing w:after="0"/>
              <w:rPr>
                <w:sz w:val="20"/>
                <w:szCs w:val="20"/>
                <w:color w:val="auto"/>
              </w:rPr>
            </w:pPr>
            <w:r>
              <w:rPr>
                <w:rFonts w:ascii="Arial" w:cs="Arial" w:eastAsia="Arial" w:hAnsi="Arial"/>
                <w:sz w:val="18"/>
                <w:szCs w:val="18"/>
                <w:color w:val="auto"/>
              </w:rPr>
              <w:t>48,000</w:t>
            </w:r>
          </w:p>
        </w:tc>
        <w:tc>
          <w:tcPr>
            <w:tcW w:w="2240" w:type="dxa"/>
            <w:vAlign w:val="bottom"/>
            <w:gridSpan w:val="2"/>
          </w:tcPr>
          <w:p>
            <w:pPr>
              <w:ind w:left="800"/>
              <w:spacing w:after="0"/>
              <w:rPr>
                <w:sz w:val="20"/>
                <w:szCs w:val="20"/>
                <w:color w:val="auto"/>
              </w:rPr>
            </w:pPr>
            <w:r>
              <w:rPr>
                <w:rFonts w:ascii="Arial" w:cs="Arial" w:eastAsia="Arial" w:hAnsi="Arial"/>
                <w:sz w:val="18"/>
                <w:szCs w:val="18"/>
                <w:color w:val="auto"/>
              </w:rPr>
              <w:t>March 1, 2013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60" w:firstLine="267"/>
        <w:spacing w:after="0" w:line="286" w:lineRule="auto"/>
        <w:rPr>
          <w:sz w:val="20"/>
          <w:szCs w:val="20"/>
          <w:color w:val="auto"/>
        </w:rPr>
      </w:pPr>
      <w:r>
        <w:rPr>
          <w:rFonts w:ascii="Arial" w:cs="Arial" w:eastAsia="Arial" w:hAnsi="Arial"/>
          <w:sz w:val="17"/>
          <w:szCs w:val="17"/>
          <w:color w:val="auto"/>
        </w:rPr>
        <w:t>The leases for our non-retail facilities (approximately 41 in all) provide for aggregate annual rentals of approximately $30.6 million in Fiscal 2005. In addition, we have entered into an agreement to lease additional 153,000 sq. ft. at 625 Madison Avenue, New York, NY. We anticipate that we will be able to extend those leases which expire in the near future on terms satisfactory to us or locate substitute facilities on acceptable terms.</w:t>
      </w:r>
    </w:p>
    <w:p>
      <w:pPr>
        <w:spacing w:after="0" w:line="57" w:lineRule="exact"/>
        <w:rPr>
          <w:sz w:val="20"/>
          <w:szCs w:val="20"/>
          <w:color w:val="auto"/>
        </w:rPr>
      </w:pPr>
    </w:p>
    <w:p>
      <w:pPr>
        <w:ind w:right="60" w:firstLine="260"/>
        <w:spacing w:after="0" w:line="264" w:lineRule="auto"/>
        <w:rPr>
          <w:sz w:val="20"/>
          <w:szCs w:val="20"/>
          <w:color w:val="auto"/>
        </w:rPr>
      </w:pPr>
      <w:r>
        <w:rPr>
          <w:rFonts w:ascii="Arial" w:cs="Arial" w:eastAsia="Arial" w:hAnsi="Arial"/>
          <w:sz w:val="18"/>
          <w:szCs w:val="18"/>
          <w:color w:val="auto"/>
        </w:rPr>
        <w:t>As of April 2, 2005, the Company operated 278 retail stores, totaling 2.16 million square feet. Aggregate annual rentals for retail space in Fiscal 2005 totaled approximately $97.2 million. We anticipate that we will be able to extend those leases which expire in the near future on satisfactory terms or relocate to desirable locations.</w:t>
      </w:r>
    </w:p>
    <w:p>
      <w:pPr>
        <w:spacing w:after="0" w:line="1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120" w:firstLine="260"/>
        <w:spacing w:after="0" w:line="297" w:lineRule="auto"/>
        <w:rPr>
          <w:sz w:val="20"/>
          <w:szCs w:val="20"/>
          <w:color w:val="auto"/>
        </w:rPr>
      </w:pPr>
      <w:r>
        <w:rPr>
          <w:rFonts w:ascii="Arial" w:cs="Arial" w:eastAsia="Arial" w:hAnsi="Arial"/>
          <w:sz w:val="16"/>
          <w:szCs w:val="16"/>
          <w:color w:val="auto"/>
        </w:rPr>
        <w:t>As a result of the failure of Jones Apparel Group, Inc. (including its subsidiaries, “Jones”) to meet the minimum sales volumes for the year ended December 31, 2002 under the license agreements for the sale of products under the “Ralph” trademark between us and Jones dated May 11, 1998, these license agreements terminated as of December 31, 2003. We advised Jones that the termination of these license agreements would automatically result in the termination of the license agreements between us and Jones with respect to the “Lauren” trademark pursuant to the Cross Default and Term Extension Agreement between us and Jones dated May 11, 1998. The terms of the Lauren license agreements would otherwise have expired on December 31, 2006.</w:t>
      </w:r>
    </w:p>
    <w:p>
      <w:pPr>
        <w:spacing w:after="0" w:line="50"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On June 3, 2003, Jones filed a lawsuit against us in the Supreme Court of the State of New York alleging, among other things, that we had breached the Lauren license agreements by asserting our rights under the Cross Default and Term Extension Agreement, and that we induced Ms. Jackwyn Nemerov, the former President of Jones, to breach the non-compete and confidentiality clauses in Ms. Nemerov’s employment agreement with Jones. Jones stated that it would treat the Lauren license agreements as terminated as of December 31, 2003, and is seeking compensatory damages of $550.0 million, punitive damages and enforcement of Ms. Nemerov’s agreement. Also on June 3, 2003, we filed a lawsuit against Jones in the Supreme Court of the State of New York seeking, among other things, an injunction and a declaratory judgement that the Lauren license agreements would terminate as of December 31, 2003 pursuant to the terms of the Cross Default and Term Extension Agreement. The two lawsuits were consolidated.</w:t>
      </w:r>
    </w:p>
    <w:p>
      <w:pPr>
        <w:spacing w:after="0" w:line="59" w:lineRule="exact"/>
        <w:rPr>
          <w:sz w:val="20"/>
          <w:szCs w:val="20"/>
          <w:color w:val="auto"/>
        </w:rPr>
      </w:pPr>
    </w:p>
    <w:p>
      <w:pPr>
        <w:ind w:right="40" w:firstLine="270"/>
        <w:spacing w:after="0" w:line="276" w:lineRule="auto"/>
        <w:rPr>
          <w:sz w:val="20"/>
          <w:szCs w:val="20"/>
          <w:color w:val="auto"/>
        </w:rPr>
      </w:pPr>
      <w:r>
        <w:rPr>
          <w:rFonts w:ascii="Arial" w:cs="Arial" w:eastAsia="Arial" w:hAnsi="Arial"/>
          <w:sz w:val="17"/>
          <w:szCs w:val="17"/>
          <w:color w:val="auto"/>
        </w:rPr>
        <w:t>On July 3, 2003, we filed a motion to dismiss Jones’ claims regarding breach of the “Lauren” agreements and a motion to stay the claims regarding Ms. Nemerov pending the arbitration of Jones’ dispute with Ms. Nemerov. On July 23, 2003, Jones filed a motion for summary judgement in our action against Jones, and on August 12, 2003, we filed a cross-motion for summary judgement. On March 18, 2004, the Court entered orders (i) denying our motion to dismiss Jones’ claims against us for breach of the Lauren agreements and (ii) granting Jones’ motion for summary judgement in our action for declaratory judgement that the Lauren agreements terminated on December 31, 2003 and dismissing our complaint. The order also stayed Jones’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claim against us relating to Ms. Nemerov pending arbitration regarding her alleged breach of her employment agreement. On August 24, 2004, the Court denied our motion to reconsider its orders, and we appealed the orders.</w:t>
      </w:r>
    </w:p>
    <w:p>
      <w:pPr>
        <w:spacing w:after="0" w:line="62" w:lineRule="exact"/>
        <w:rPr>
          <w:sz w:val="20"/>
          <w:szCs w:val="20"/>
          <w:color w:val="auto"/>
        </w:rPr>
      </w:pPr>
    </w:p>
    <w:p>
      <w:pPr>
        <w:ind w:right="80" w:firstLine="270"/>
        <w:spacing w:after="0" w:line="293" w:lineRule="auto"/>
        <w:rPr>
          <w:sz w:val="20"/>
          <w:szCs w:val="20"/>
          <w:color w:val="auto"/>
        </w:rPr>
      </w:pPr>
      <w:r>
        <w:rPr>
          <w:rFonts w:ascii="Arial" w:cs="Arial" w:eastAsia="Arial" w:hAnsi="Arial"/>
          <w:sz w:val="16"/>
          <w:szCs w:val="16"/>
          <w:color w:val="auto"/>
        </w:rPr>
        <w:t>On March 24, 2005, the Appellate Division of the Supreme Court affirmed the lower court’s orders. On April 22, 2005, we filed a motion with the Appellate Division for reargument and/or permission to appeal its decision to the New York Court of Appeals. On June 23, 2005, the Appellate Division denied our request for reargument, but granted our motion for leave to appeal to the Court of Appeals. If the Court of Appeals does not reverse the Appellate Division’s decision, the case will go back to the lower court for a trial on damages. Although we intend to continue to defend the case vigorously, in light of the Appellate Division’s decision we recorded a reserve of $100.0 million during Fiscal 2005. This charge represents management’s best estimate at this time of the loss incurred. No discovery has been held, and the ultimate outcome of this matter could differ materially from the reserved amount.</w:t>
      </w:r>
    </w:p>
    <w:p>
      <w:pPr>
        <w:spacing w:after="0" w:line="57" w:lineRule="exact"/>
        <w:rPr>
          <w:sz w:val="20"/>
          <w:szCs w:val="20"/>
          <w:color w:val="auto"/>
        </w:rPr>
      </w:pPr>
    </w:p>
    <w:p>
      <w:pPr>
        <w:ind w:firstLine="260"/>
        <w:spacing w:after="0" w:line="272" w:lineRule="auto"/>
        <w:rPr>
          <w:sz w:val="20"/>
          <w:szCs w:val="20"/>
          <w:color w:val="auto"/>
        </w:rPr>
      </w:pPr>
      <w:r>
        <w:rPr>
          <w:rFonts w:ascii="Arial" w:cs="Arial" w:eastAsia="Arial" w:hAnsi="Arial"/>
          <w:sz w:val="17"/>
          <w:szCs w:val="17"/>
          <w:color w:val="auto"/>
        </w:rPr>
        <w:t>As described in more detail in Note 20 to our consolidated financial statements included in this form 10-K, we are subject to various claims relating to allegations of a security breach of our retail point of sale system, including fraudulent credit card charges, the cost of replacing cards and related monitoring expenses and other related claims. The Company is unable to predict whether further claims will be asserted. The Company has contested and will continue to vigorously contest the claims made against it and continues to explore its defenses and possible claims against others. The Company has recorded a reserve of $6.2 million representing management’s best estimate of the loss incurred in the fourth quarter of Fiscal 2005 relating to this matter. The ultimate outcome of these matters could differ from the amounts recorded. While that difference could be material to the results of operations for any affected reporting period, it is not expected to have a material impact on consolidated liquidity.</w:t>
      </w:r>
    </w:p>
    <w:p>
      <w:pPr>
        <w:spacing w:after="0" w:line="70" w:lineRule="exact"/>
        <w:rPr>
          <w:sz w:val="20"/>
          <w:szCs w:val="20"/>
          <w:color w:val="auto"/>
        </w:rPr>
      </w:pPr>
    </w:p>
    <w:p>
      <w:pPr>
        <w:ind w:right="40" w:firstLine="270"/>
        <w:spacing w:after="0" w:line="270" w:lineRule="auto"/>
        <w:rPr>
          <w:sz w:val="20"/>
          <w:szCs w:val="20"/>
          <w:color w:val="auto"/>
        </w:rPr>
      </w:pPr>
      <w:r>
        <w:rPr>
          <w:rFonts w:ascii="Arial" w:cs="Arial" w:eastAsia="Arial" w:hAnsi="Arial"/>
          <w:sz w:val="17"/>
          <w:szCs w:val="17"/>
          <w:color w:val="auto"/>
        </w:rPr>
        <w:t>On September 18, 2002, an employee at one of the Company’s stores filed a lawsuit against us and our Polo Retail, LLC subsidiary in the United States District Court for the District of Northern California alleging violations of California antitrust and labor laws. The plaintiff purports to represent a class of employees who have allegedly been injured by a requirement that certain retail employees purchase and wear Company apparel as a condition of their employment. The complaint, as amended, seeks an unspecified amount of actual and punitive damages, disgorgement of profits and injunctive and declaratory relief. The Company answered the amended complaint on November 4, 2002. A hearing on cross motions for summary judgement on the issue of whether the Company’s policies violated California law took place on August 14, 2003. The Court granted partial summary judgement with respect to certain of the plaintiff’s claims, but concluded that more discovery was necessary before it could decide the key issue as to whether the Company had maintained for a period of time a dress code policy that violated California law. The parties are engaged in settlement discussions, and during Fiscal 2005 we recorded a reserve for our estimate of the settlement cost, the amount of which is not material.</w:t>
      </w:r>
    </w:p>
    <w:p>
      <w:pPr>
        <w:spacing w:after="0" w:line="74" w:lineRule="exact"/>
        <w:rPr>
          <w:sz w:val="20"/>
          <w:szCs w:val="20"/>
          <w:color w:val="auto"/>
        </w:rPr>
      </w:pPr>
    </w:p>
    <w:p>
      <w:pPr>
        <w:ind w:right="160" w:firstLine="270"/>
        <w:spacing w:after="0" w:line="297" w:lineRule="auto"/>
        <w:rPr>
          <w:sz w:val="20"/>
          <w:szCs w:val="20"/>
          <w:color w:val="auto"/>
        </w:rPr>
      </w:pPr>
      <w:r>
        <w:rPr>
          <w:rFonts w:ascii="Arial" w:cs="Arial" w:eastAsia="Arial" w:hAnsi="Arial"/>
          <w:sz w:val="16"/>
          <w:szCs w:val="16"/>
          <w:color w:val="auto"/>
        </w:rPr>
        <w:t>On April 14, 2003, a second putative class action was filed in the San Francisco Superior Court. This suit, brought by the same attorneys, alleges near identical claims to those in the federal class action. The class representatives consist of former employees and the plaintiff in the federal court action. Defendants in this class action include us and our subsidiaries Polo Retail, LLC, Fashions Outlet of America, Inc., Polo Retail, Inc. and San Francisco Polo, Ltd. as well as a non-affiliated corporate defendant and two current managers. As in the federal action, the complaint seeks an unspecified amount of actual and punitive restitution of monies spent, and declaratory relief. The state court class action has been stayed pending resolution of the federal class action.</w:t>
      </w:r>
    </w:p>
    <w:p>
      <w:pPr>
        <w:spacing w:after="0" w:line="50" w:lineRule="exact"/>
        <w:rPr>
          <w:sz w:val="20"/>
          <w:szCs w:val="20"/>
          <w:color w:val="auto"/>
        </w:rPr>
      </w:pPr>
    </w:p>
    <w:p>
      <w:pPr>
        <w:ind w:right="160" w:firstLine="270"/>
        <w:spacing w:after="0" w:line="297" w:lineRule="auto"/>
        <w:rPr>
          <w:sz w:val="20"/>
          <w:szCs w:val="20"/>
          <w:color w:val="auto"/>
        </w:rPr>
      </w:pPr>
      <w:r>
        <w:rPr>
          <w:rFonts w:ascii="Arial" w:cs="Arial" w:eastAsia="Arial" w:hAnsi="Arial"/>
          <w:sz w:val="16"/>
          <w:szCs w:val="16"/>
          <w:color w:val="auto"/>
        </w:rPr>
        <w:t>On October 1, 1999, we filed a lawsuit against the United States Polo Association Inc., Jordache, Ltd. and certain other entities affiliated with them, alleging that the defendants were infringing on our trademarks. In connection with this lawsuit, on July 19, 2001, the United States Polo Association and Jordache filed a lawsuit against us in the United States District Court for the Southern District of New York. This suit, which was effectively a counterclaim by them in connection with the original trademark action, asserts claims related to our actions in our pursuit of claims against the United States Polo Association and Jordache for trademark infringement and other unlawful conduct. Their claims stemmed from our contacts with the United States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Polo Association’s and Jordache’s retailers in which we informed these retailers of our position in the original trademark action. All claims and counterclaims have now been settled, except for the Company’s claims that the defendants violated the Company’s trademark rights. We did not pay any damages in this settlement. On July 30, 2004, the Court denied all motions for summary judgement and set a trial date for October 3, 2005.</w:t>
      </w:r>
    </w:p>
    <w:p>
      <w:pPr>
        <w:spacing w:after="0" w:line="57" w:lineRule="exact"/>
        <w:rPr>
          <w:sz w:val="20"/>
          <w:szCs w:val="20"/>
          <w:color w:val="auto"/>
        </w:rPr>
      </w:pPr>
    </w:p>
    <w:p>
      <w:pPr>
        <w:ind w:right="20" w:firstLine="270"/>
        <w:spacing w:after="0" w:line="269" w:lineRule="auto"/>
        <w:rPr>
          <w:sz w:val="20"/>
          <w:szCs w:val="20"/>
          <w:color w:val="auto"/>
        </w:rPr>
      </w:pPr>
      <w:r>
        <w:rPr>
          <w:rFonts w:ascii="Arial" w:cs="Arial" w:eastAsia="Arial" w:hAnsi="Arial"/>
          <w:sz w:val="17"/>
          <w:szCs w:val="17"/>
          <w:color w:val="auto"/>
        </w:rPr>
        <w:t>On December 5, 2003, United States Polo Association, USPA Properties, Inc., Global Licensing Sverige and Atlas Design AB (collectively, “USPA”) filed a Demand for Arbitration against the Company in Sweden under the auspices of the International Centre for Dispute Resolution seeking a declaratory judgement that USPA’s so-called Horseman symbol does not infringe on Polo Ralph Lauren’s trademark and other rights. No claim for damages was stated. On February 19, 2004, we answered the Demand for Arbitration, contesting the arbitrability of USPA’s claim for declaratory relief. We also asserted our own counterclaim, seeking a judgement that the USPA’s Horseman symbol infringes on our trademark and other rights. We also sought injunctive relief and damages in an unspecified amount. On November 1, 2004, the panel of the International Centre for Dispute Resolution hearing the arbitration between us and the United States Polo Association, United States Polo Association Properties, Inc., Global Licensing Sverige and Atlas Design AB (collectively, “USPA”) in Sweden rendered a decision rejecting the relief sought by USPA and holding that their so-called Horseman symbol infringes on our trademark and other rights. The arbitral tribunal awarded us damages in excess of 3.5 million Swedish Krona, or $0.5 million based on the exchange rate at April 2, 2005, and ordered USPA to discontinue the sale of, and destroy all remaining stock of, clothing bearing its Horseman symbol in Sweden. This award will be recorded when received.</w:t>
      </w:r>
    </w:p>
    <w:p>
      <w:pPr>
        <w:spacing w:after="0" w:line="75" w:lineRule="exact"/>
        <w:rPr>
          <w:sz w:val="20"/>
          <w:szCs w:val="20"/>
          <w:color w:val="auto"/>
        </w:rPr>
      </w:pPr>
    </w:p>
    <w:p>
      <w:pPr>
        <w:ind w:right="20" w:firstLine="270"/>
        <w:spacing w:after="0" w:line="257" w:lineRule="auto"/>
        <w:rPr>
          <w:sz w:val="20"/>
          <w:szCs w:val="20"/>
          <w:color w:val="auto"/>
        </w:rPr>
      </w:pPr>
      <w:r>
        <w:rPr>
          <w:rFonts w:ascii="Arial" w:cs="Arial" w:eastAsia="Arial" w:hAnsi="Arial"/>
          <w:sz w:val="18"/>
          <w:szCs w:val="18"/>
          <w:color w:val="auto"/>
        </w:rPr>
        <w:t>On October 29, 2004, we filed a demand for arbitration against the United States Polo Association and United States Polo Association Polo Properties, Inc. in the United Kingdom under the auspices of the International Centre for Dispute Resolution seeking a judgement that the Horseman symbol infringes on our trademark and other rights, as well as injunctive relief. Subsequently, the United States Polo Association and United States Polo Association Properties, Inc. agreed not to distribute products bearing the Horseman symbol in the United Kingdom or any other member nation of the European Community. Consequently, we withdrew our arbitration demand on December 7, 2004.</w:t>
      </w:r>
    </w:p>
    <w:p>
      <w:pPr>
        <w:spacing w:after="0" w:line="80" w:lineRule="exact"/>
        <w:rPr>
          <w:sz w:val="20"/>
          <w:szCs w:val="20"/>
          <w:color w:val="auto"/>
        </w:rPr>
      </w:pPr>
    </w:p>
    <w:p>
      <w:pPr>
        <w:jc w:val="both"/>
        <w:ind w:firstLine="267"/>
        <w:spacing w:after="0" w:line="264" w:lineRule="auto"/>
        <w:rPr>
          <w:sz w:val="20"/>
          <w:szCs w:val="20"/>
          <w:color w:val="auto"/>
        </w:rPr>
      </w:pPr>
      <w:r>
        <w:rPr>
          <w:rFonts w:ascii="Arial" w:cs="Arial" w:eastAsia="Arial" w:hAnsi="Arial"/>
          <w:sz w:val="18"/>
          <w:szCs w:val="18"/>
          <w:color w:val="auto"/>
        </w:rPr>
        <w:t>We are otherwise involved from time to time in legal claims involving trademark and intellectual property, licensing, employee relations and other matters incidental to our business. We believe that the resolution of these other matters currently pending will not individually or in aggregate have a material adverse effect on our financial condition or results of operations.</w:t>
      </w:r>
    </w:p>
    <w:p>
      <w:pPr>
        <w:spacing w:after="0" w:line="1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 matters were submitted to a vote of security holders during the fourth quarter of the fiscal year ended April 2, 2005.</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and Related Stockholders Matters</w:t>
      </w:r>
    </w:p>
    <w:p>
      <w:pPr>
        <w:spacing w:after="0" w:line="121" w:lineRule="exact"/>
        <w:rPr>
          <w:sz w:val="20"/>
          <w:szCs w:val="20"/>
          <w:color w:val="auto"/>
        </w:rPr>
      </w:pPr>
    </w:p>
    <w:p>
      <w:pPr>
        <w:ind w:right="260" w:firstLine="270"/>
        <w:spacing w:after="0" w:line="342" w:lineRule="auto"/>
        <w:rPr>
          <w:sz w:val="20"/>
          <w:szCs w:val="20"/>
          <w:color w:val="auto"/>
        </w:rPr>
      </w:pPr>
      <w:r>
        <w:rPr>
          <w:rFonts w:ascii="Arial" w:cs="Arial" w:eastAsia="Arial" w:hAnsi="Arial"/>
          <w:sz w:val="16"/>
          <w:szCs w:val="16"/>
          <w:color w:val="auto"/>
        </w:rPr>
        <w:t>Our Class A common stock is traded on the New York Stock Exchange under the symbol “RL.” The following table sets forth the high and low closing prices per share of the Class A common stock for each quarterly period in our two most recent fiscal years, as reported on the NYSE Composite Tape.</w:t>
      </w:r>
    </w:p>
    <w:p>
      <w:pPr>
        <w:spacing w:after="0" w:line="21"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Market Price</w:t>
      </w:r>
    </w:p>
    <w:p>
      <w:pPr>
        <w:jc w:val="center"/>
        <w:ind w:left="8540"/>
        <w:spacing w:after="0" w:line="226" w:lineRule="auto"/>
        <w:rPr>
          <w:sz w:val="20"/>
          <w:szCs w:val="20"/>
          <w:color w:val="auto"/>
        </w:rPr>
      </w:pPr>
      <w:r>
        <w:rPr>
          <w:rFonts w:ascii="Arial" w:cs="Arial" w:eastAsia="Arial" w:hAnsi="Arial"/>
          <w:sz w:val="14"/>
          <w:szCs w:val="14"/>
          <w:b w:val="1"/>
          <w:bCs w:val="1"/>
          <w:color w:val="auto"/>
        </w:rPr>
        <w:t>of Class A</w:t>
      </w:r>
    </w:p>
    <w:p>
      <w:pPr>
        <w:jc w:val="center"/>
        <w:ind w:left="8540"/>
        <w:spacing w:after="0" w:line="232" w:lineRule="auto"/>
        <w:rPr>
          <w:sz w:val="20"/>
          <w:szCs w:val="20"/>
          <w:color w:val="auto"/>
        </w:rPr>
      </w:pPr>
      <w:r>
        <w:rPr>
          <w:rFonts w:ascii="Arial" w:cs="Arial" w:eastAsia="Arial" w:hAnsi="Arial"/>
          <w:sz w:val="14"/>
          <w:szCs w:val="14"/>
          <w:b w:val="1"/>
          <w:bCs w:val="1"/>
          <w:color w:val="auto"/>
        </w:rPr>
        <w:t>Common Stock</w:t>
      </w: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High</w:t>
            </w:r>
          </w:p>
        </w:tc>
        <w:tc>
          <w:tcPr>
            <w:tcW w:w="3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Low</w:t>
            </w:r>
          </w:p>
        </w:tc>
        <w:tc>
          <w:tcPr>
            <w:tcW w:w="3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2005:</w:t>
            </w:r>
          </w:p>
        </w:tc>
        <w:tc>
          <w:tcPr>
            <w:tcW w:w="37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First Quarter</w:t>
            </w:r>
          </w:p>
        </w:tc>
        <w:tc>
          <w:tcPr>
            <w:tcW w:w="3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37.05</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31.23</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Second Quarter</w:t>
            </w: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38.57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Third Quarter</w:t>
            </w: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42.83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33.75</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Fourth Quarter</w:t>
            </w: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42.59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Fiscal 2004:</w:t>
            </w: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First Quarter</w:t>
            </w:r>
          </w:p>
        </w:tc>
        <w:tc>
          <w:tcPr>
            <w:tcW w:w="3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27.93</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Second Quarter</w:t>
            </w: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30.10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25.06</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Third Quarter</w:t>
            </w: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31.52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3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Fourth Quarter</w:t>
            </w:r>
          </w:p>
        </w:tc>
        <w:tc>
          <w:tcPr>
            <w:tcW w:w="3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35.35</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27.28</w:t>
            </w:r>
          </w:p>
        </w:tc>
        <w:tc>
          <w:tcPr>
            <w:tcW w:w="320" w:type="dxa"/>
            <w:vAlign w:val="bottom"/>
          </w:tcPr>
          <w:p>
            <w:pPr>
              <w:spacing w:after="0"/>
              <w:rPr>
                <w:sz w:val="20"/>
                <w:szCs w:val="20"/>
                <w:color w:val="auto"/>
              </w:rPr>
            </w:pPr>
          </w:p>
        </w:tc>
      </w:tr>
    </w:tbl>
    <w:p>
      <w:pPr>
        <w:spacing w:after="0" w:line="79" w:lineRule="exact"/>
        <w:rPr>
          <w:sz w:val="20"/>
          <w:szCs w:val="20"/>
          <w:color w:val="auto"/>
        </w:rPr>
      </w:pPr>
    </w:p>
    <w:p>
      <w:pPr>
        <w:ind w:right="120" w:firstLine="270"/>
        <w:spacing w:after="0" w:line="264" w:lineRule="auto"/>
        <w:rPr>
          <w:sz w:val="20"/>
          <w:szCs w:val="20"/>
          <w:color w:val="auto"/>
        </w:rPr>
      </w:pPr>
      <w:r>
        <w:rPr>
          <w:rFonts w:ascii="Arial" w:cs="Arial" w:eastAsia="Arial" w:hAnsi="Arial"/>
          <w:sz w:val="18"/>
          <w:szCs w:val="18"/>
          <w:color w:val="auto"/>
        </w:rPr>
        <w:t>On May 20, 2003 our Board of Directors initiated a regular quarterly cash dividend program of $0.05 per share, or $0.20 per share on an annual basis, on our Class A common stock. Approximately $20.4 million was recorded as a reduction to retained earnings during Fiscal 2005 in connection with these dividends.</w:t>
      </w:r>
    </w:p>
    <w:p>
      <w:pPr>
        <w:spacing w:after="0" w:line="73" w:lineRule="exact"/>
        <w:rPr>
          <w:sz w:val="20"/>
          <w:szCs w:val="20"/>
          <w:color w:val="auto"/>
        </w:rPr>
      </w:pPr>
    </w:p>
    <w:p>
      <w:pPr>
        <w:ind w:right="180" w:firstLine="260"/>
        <w:spacing w:after="0" w:line="264" w:lineRule="auto"/>
        <w:rPr>
          <w:sz w:val="20"/>
          <w:szCs w:val="20"/>
          <w:color w:val="auto"/>
        </w:rPr>
      </w:pPr>
      <w:r>
        <w:rPr>
          <w:rFonts w:ascii="Arial" w:cs="Arial" w:eastAsia="Arial" w:hAnsi="Arial"/>
          <w:sz w:val="18"/>
          <w:szCs w:val="18"/>
          <w:color w:val="auto"/>
        </w:rPr>
        <w:t>As of June 10, 2005, there were 1,428 holders of record of our Class A common stock and 11 holders of record of our Class B common stock. All of our outstanding shares of Class B common stock are owned by Mr. Ralph Lauren and related entities and are convertible at any time into shares of Class A common stock on a one-for-one basis and may not be transferred to anyone other than affiliates of Mr. Lauren.</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sets forth the repurchases of our common stock during the Fiscal quarter ended April 2, 2005.</w:t>
      </w:r>
    </w:p>
    <w:p>
      <w:pPr>
        <w:spacing w:after="0" w:line="110" w:lineRule="exact"/>
        <w:rPr>
          <w:sz w:val="20"/>
          <w:szCs w:val="20"/>
          <w:color w:val="auto"/>
        </w:rPr>
      </w:pPr>
    </w:p>
    <w:tbl>
      <w:tblPr>
        <w:tblLayout w:type="fixed"/>
        <w:tblInd w:w="372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760" w:type="dxa"/>
            <w:vAlign w:val="bottom"/>
          </w:tcPr>
          <w:p>
            <w:pPr>
              <w:jc w:val="center"/>
              <w:ind w:left="508"/>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3040" w:type="dxa"/>
            <w:vAlign w:val="bottom"/>
            <w:vMerge w:val="restart"/>
          </w:tcPr>
          <w:p>
            <w:pPr>
              <w:jc w:val="center"/>
              <w:ind w:left="548"/>
              <w:spacing w:after="0"/>
              <w:rPr>
                <w:sz w:val="20"/>
                <w:szCs w:val="20"/>
                <w:color w:val="auto"/>
              </w:rPr>
            </w:pPr>
            <w:r>
              <w:rPr>
                <w:rFonts w:ascii="Arial" w:cs="Arial" w:eastAsia="Arial" w:hAnsi="Arial"/>
                <w:sz w:val="14"/>
                <w:szCs w:val="14"/>
                <w:b w:val="1"/>
                <w:bCs w:val="1"/>
                <w:color w:val="auto"/>
                <w:w w:val="94"/>
              </w:rPr>
              <w:t>Total Number of</w:t>
            </w:r>
          </w:p>
        </w:tc>
        <w:tc>
          <w:tcPr>
            <w:tcW w:w="1760" w:type="dxa"/>
            <w:vAlign w:val="bottom"/>
          </w:tcPr>
          <w:p>
            <w:pPr>
              <w:jc w:val="center"/>
              <w:ind w:left="508"/>
              <w:spacing w:after="0" w:line="149"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49"/>
        </w:trPr>
        <w:tc>
          <w:tcPr>
            <w:tcW w:w="2060" w:type="dxa"/>
            <w:vAlign w:val="bottom"/>
            <w:vMerge w:val="restart"/>
          </w:tcPr>
          <w:p>
            <w:pPr>
              <w:jc w:val="center"/>
              <w:ind w:right="1128"/>
              <w:spacing w:after="0"/>
              <w:rPr>
                <w:sz w:val="20"/>
                <w:szCs w:val="20"/>
                <w:color w:val="auto"/>
              </w:rPr>
            </w:pPr>
            <w:r>
              <w:rPr>
                <w:rFonts w:ascii="Arial" w:cs="Arial" w:eastAsia="Arial" w:hAnsi="Arial"/>
                <w:sz w:val="14"/>
                <w:szCs w:val="14"/>
                <w:b w:val="1"/>
                <w:bCs w:val="1"/>
                <w:color w:val="auto"/>
                <w:w w:val="95"/>
              </w:rPr>
              <w:t>Total Number</w:t>
            </w:r>
          </w:p>
        </w:tc>
        <w:tc>
          <w:tcPr>
            <w:tcW w:w="3040" w:type="dxa"/>
            <w:vAlign w:val="bottom"/>
            <w:vMerge w:val="continue"/>
          </w:tcPr>
          <w:p>
            <w:pPr>
              <w:spacing w:after="0"/>
              <w:rPr>
                <w:sz w:val="12"/>
                <w:szCs w:val="12"/>
                <w:color w:val="auto"/>
              </w:rPr>
            </w:pPr>
          </w:p>
        </w:tc>
        <w:tc>
          <w:tcPr>
            <w:tcW w:w="1760" w:type="dxa"/>
            <w:vAlign w:val="bottom"/>
          </w:tcPr>
          <w:p>
            <w:pPr>
              <w:jc w:val="center"/>
              <w:ind w:left="508"/>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9"/>
        </w:trPr>
        <w:tc>
          <w:tcPr>
            <w:tcW w:w="2060" w:type="dxa"/>
            <w:vAlign w:val="bottom"/>
            <w:vMerge w:val="continue"/>
          </w:tcPr>
          <w:p>
            <w:pPr>
              <w:spacing w:after="0"/>
              <w:rPr>
                <w:sz w:val="12"/>
                <w:szCs w:val="12"/>
                <w:color w:val="auto"/>
              </w:rPr>
            </w:pPr>
          </w:p>
        </w:tc>
        <w:tc>
          <w:tcPr>
            <w:tcW w:w="3040" w:type="dxa"/>
            <w:vAlign w:val="bottom"/>
          </w:tcPr>
          <w:p>
            <w:pPr>
              <w:jc w:val="center"/>
              <w:ind w:left="548"/>
              <w:spacing w:after="0" w:line="149" w:lineRule="exact"/>
              <w:rPr>
                <w:sz w:val="20"/>
                <w:szCs w:val="20"/>
                <w:color w:val="auto"/>
              </w:rPr>
            </w:pPr>
            <w:r>
              <w:rPr>
                <w:rFonts w:ascii="Arial" w:cs="Arial" w:eastAsia="Arial" w:hAnsi="Arial"/>
                <w:sz w:val="14"/>
                <w:szCs w:val="14"/>
                <w:b w:val="1"/>
                <w:bCs w:val="1"/>
                <w:color w:val="auto"/>
                <w:w w:val="93"/>
              </w:rPr>
              <w:t>Shares (or Units)</w:t>
            </w:r>
          </w:p>
        </w:tc>
        <w:tc>
          <w:tcPr>
            <w:tcW w:w="1760" w:type="dxa"/>
            <w:vAlign w:val="bottom"/>
          </w:tcPr>
          <w:p>
            <w:pPr>
              <w:jc w:val="center"/>
              <w:ind w:left="508"/>
              <w:spacing w:after="0" w:line="149" w:lineRule="exact"/>
              <w:rPr>
                <w:sz w:val="20"/>
                <w:szCs w:val="20"/>
                <w:color w:val="auto"/>
              </w:rPr>
            </w:pPr>
            <w:r>
              <w:rPr>
                <w:rFonts w:ascii="Arial" w:cs="Arial" w:eastAsia="Arial" w:hAnsi="Arial"/>
                <w:sz w:val="14"/>
                <w:szCs w:val="14"/>
                <w:b w:val="1"/>
                <w:bCs w:val="1"/>
                <w:color w:val="auto"/>
                <w:w w:val="93"/>
              </w:rPr>
              <w:t>Shares (or Units)</w:t>
            </w:r>
          </w:p>
        </w:tc>
        <w:tc>
          <w:tcPr>
            <w:tcW w:w="0" w:type="dxa"/>
            <w:vAlign w:val="bottom"/>
          </w:tcPr>
          <w:p>
            <w:pPr>
              <w:spacing w:after="0"/>
              <w:rPr>
                <w:sz w:val="1"/>
                <w:szCs w:val="1"/>
                <w:color w:val="auto"/>
              </w:rPr>
            </w:pPr>
          </w:p>
        </w:tc>
      </w:tr>
      <w:tr>
        <w:trPr>
          <w:trHeight w:val="165"/>
        </w:trPr>
        <w:tc>
          <w:tcPr>
            <w:tcW w:w="2060" w:type="dxa"/>
            <w:vAlign w:val="bottom"/>
          </w:tcPr>
          <w:p>
            <w:pPr>
              <w:jc w:val="center"/>
              <w:ind w:right="1128"/>
              <w:spacing w:after="0"/>
              <w:rPr>
                <w:sz w:val="20"/>
                <w:szCs w:val="20"/>
                <w:color w:val="auto"/>
              </w:rPr>
            </w:pPr>
            <w:r>
              <w:rPr>
                <w:rFonts w:ascii="Arial" w:cs="Arial" w:eastAsia="Arial" w:hAnsi="Arial"/>
                <w:sz w:val="14"/>
                <w:szCs w:val="14"/>
                <w:b w:val="1"/>
                <w:bCs w:val="1"/>
                <w:color w:val="auto"/>
                <w:w w:val="90"/>
              </w:rPr>
              <w:t>of Shares</w:t>
            </w:r>
          </w:p>
        </w:tc>
        <w:tc>
          <w:tcPr>
            <w:tcW w:w="3040" w:type="dxa"/>
            <w:vAlign w:val="bottom"/>
          </w:tcPr>
          <w:p>
            <w:pPr>
              <w:jc w:val="center"/>
              <w:ind w:left="548"/>
              <w:spacing w:after="0"/>
              <w:rPr>
                <w:sz w:val="20"/>
                <w:szCs w:val="20"/>
                <w:color w:val="auto"/>
              </w:rPr>
            </w:pPr>
            <w:r>
              <w:rPr>
                <w:rFonts w:ascii="Arial" w:cs="Arial" w:eastAsia="Arial" w:hAnsi="Arial"/>
                <w:sz w:val="14"/>
                <w:szCs w:val="14"/>
                <w:b w:val="1"/>
                <w:bCs w:val="1"/>
                <w:color w:val="auto"/>
                <w:w w:val="90"/>
              </w:rPr>
              <w:t>Purchased as Part of</w:t>
            </w:r>
          </w:p>
        </w:tc>
        <w:tc>
          <w:tcPr>
            <w:tcW w:w="1760" w:type="dxa"/>
            <w:vAlign w:val="bottom"/>
          </w:tcPr>
          <w:p>
            <w:pPr>
              <w:jc w:val="center"/>
              <w:ind w:left="508"/>
              <w:spacing w:after="0"/>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320" w:type="dxa"/>
            <w:vAlign w:val="bottom"/>
          </w:tcPr>
          <w:p>
            <w:pPr>
              <w:spacing w:after="0"/>
              <w:rPr>
                <w:sz w:val="11"/>
                <w:szCs w:val="11"/>
                <w:color w:val="auto"/>
              </w:rPr>
            </w:pPr>
          </w:p>
        </w:tc>
        <w:tc>
          <w:tcPr>
            <w:tcW w:w="860" w:type="dxa"/>
            <w:vAlign w:val="bottom"/>
          </w:tcPr>
          <w:p>
            <w:pPr>
              <w:ind w:left="120"/>
              <w:spacing w:after="0" w:line="133" w:lineRule="exact"/>
              <w:rPr>
                <w:sz w:val="20"/>
                <w:szCs w:val="20"/>
                <w:color w:val="auto"/>
              </w:rPr>
            </w:pPr>
            <w:r>
              <w:rPr>
                <w:rFonts w:ascii="Arial" w:cs="Arial" w:eastAsia="Arial" w:hAnsi="Arial"/>
                <w:sz w:val="14"/>
                <w:szCs w:val="14"/>
                <w:b w:val="1"/>
                <w:bCs w:val="1"/>
                <w:color w:val="auto"/>
              </w:rPr>
              <w:t>(or Units)</w:t>
            </w:r>
          </w:p>
        </w:tc>
        <w:tc>
          <w:tcPr>
            <w:tcW w:w="740" w:type="dxa"/>
            <w:vAlign w:val="bottom"/>
          </w:tcPr>
          <w:p>
            <w:pPr>
              <w:spacing w:after="0"/>
              <w:rPr>
                <w:sz w:val="11"/>
                <w:szCs w:val="11"/>
                <w:color w:val="auto"/>
              </w:rPr>
            </w:pPr>
          </w:p>
        </w:tc>
        <w:tc>
          <w:tcPr>
            <w:tcW w:w="1660" w:type="dxa"/>
            <w:vAlign w:val="bottom"/>
            <w:gridSpan w:val="2"/>
          </w:tcPr>
          <w:p>
            <w:pPr>
              <w:jc w:val="right"/>
              <w:ind w:right="780"/>
              <w:spacing w:after="0" w:line="133" w:lineRule="exact"/>
              <w:rPr>
                <w:sz w:val="20"/>
                <w:szCs w:val="20"/>
                <w:color w:val="auto"/>
              </w:rPr>
            </w:pPr>
            <w:r>
              <w:rPr>
                <w:rFonts w:ascii="Arial" w:cs="Arial" w:eastAsia="Arial" w:hAnsi="Arial"/>
                <w:sz w:val="14"/>
                <w:szCs w:val="14"/>
                <w:b w:val="1"/>
                <w:bCs w:val="1"/>
                <w:color w:val="auto"/>
                <w:w w:val="92"/>
              </w:rPr>
              <w:t>Average Price</w:t>
            </w:r>
          </w:p>
        </w:tc>
        <w:tc>
          <w:tcPr>
            <w:tcW w:w="12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2"/>
              </w:rPr>
              <w:t>Publicly Announced</w:t>
            </w:r>
          </w:p>
        </w:tc>
        <w:tc>
          <w:tcPr>
            <w:tcW w:w="1080" w:type="dxa"/>
            <w:vAlign w:val="bottom"/>
          </w:tcPr>
          <w:p>
            <w:pPr>
              <w:spacing w:after="0"/>
              <w:rPr>
                <w:sz w:val="11"/>
                <w:szCs w:val="11"/>
                <w:color w:val="auto"/>
              </w:rPr>
            </w:pPr>
          </w:p>
        </w:tc>
        <w:tc>
          <w:tcPr>
            <w:tcW w:w="210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71"/>
        </w:trPr>
        <w:tc>
          <w:tcPr>
            <w:tcW w:w="34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ind w:left="100"/>
              <w:spacing w:after="0"/>
              <w:rPr>
                <w:sz w:val="20"/>
                <w:szCs w:val="20"/>
                <w:color w:val="auto"/>
              </w:rPr>
            </w:pPr>
            <w:r>
              <w:rPr>
                <w:rFonts w:ascii="Arial" w:cs="Arial" w:eastAsia="Arial" w:hAnsi="Arial"/>
                <w:sz w:val="14"/>
                <w:szCs w:val="14"/>
                <w:b w:val="1"/>
                <w:bCs w:val="1"/>
                <w:color w:val="auto"/>
              </w:rPr>
              <w:t>Purchased</w:t>
            </w:r>
          </w:p>
        </w:tc>
        <w:tc>
          <w:tcPr>
            <w:tcW w:w="740" w:type="dxa"/>
            <w:vAlign w:val="bottom"/>
          </w:tcPr>
          <w:p>
            <w:pPr>
              <w:spacing w:after="0"/>
              <w:rPr>
                <w:sz w:val="14"/>
                <w:szCs w:val="14"/>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1"/>
              </w:rPr>
              <w:t>Paid Per Share</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w w:val="94"/>
              </w:rPr>
              <w:t>Plans or Programs</w:t>
            </w:r>
          </w:p>
        </w:tc>
        <w:tc>
          <w:tcPr>
            <w:tcW w:w="1080" w:type="dxa"/>
            <w:vAlign w:val="bottom"/>
          </w:tcPr>
          <w:p>
            <w:pPr>
              <w:spacing w:after="0"/>
              <w:rPr>
                <w:sz w:val="14"/>
                <w:szCs w:val="14"/>
                <w:color w:val="auto"/>
              </w:rPr>
            </w:pPr>
          </w:p>
        </w:tc>
        <w:tc>
          <w:tcPr>
            <w:tcW w:w="2100" w:type="dxa"/>
            <w:vAlign w:val="bottom"/>
            <w:gridSpan w:val="2"/>
          </w:tcPr>
          <w:p>
            <w:pPr>
              <w:ind w:left="100"/>
              <w:spacing w:after="0"/>
              <w:rPr>
                <w:sz w:val="20"/>
                <w:szCs w:val="20"/>
                <w:color w:val="auto"/>
              </w:rPr>
            </w:pPr>
            <w:r>
              <w:rPr>
                <w:rFonts w:ascii="Arial" w:cs="Arial" w:eastAsia="Arial" w:hAnsi="Arial"/>
                <w:sz w:val="14"/>
                <w:szCs w:val="14"/>
                <w:b w:val="1"/>
                <w:bCs w:val="1"/>
                <w:color w:val="auto"/>
              </w:rPr>
              <w:t>Plans or Programs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January 2, 2005 to January 29, 2005</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January 30, 2005 to February 26, 2005</w:t>
            </w:r>
          </w:p>
        </w:tc>
        <w:tc>
          <w:tcPr>
            <w:tcW w:w="320" w:type="dxa"/>
            <w:vAlign w:val="bottom"/>
          </w:tcPr>
          <w:p>
            <w:pPr>
              <w:spacing w:after="0"/>
              <w:rPr>
                <w:sz w:val="18"/>
                <w:szCs w:val="18"/>
                <w:color w:val="auto"/>
              </w:rPr>
            </w:pP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740" w:type="dxa"/>
            <w:vAlign w:val="bottom"/>
          </w:tcPr>
          <w:p>
            <w:pPr>
              <w:spacing w:after="0"/>
              <w:rPr>
                <w:sz w:val="18"/>
                <w:szCs w:val="18"/>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210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February 27, 2005 to April 2, 2005</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7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20"/>
                <w:szCs w:val="20"/>
                <w:color w:val="auto"/>
              </w:rPr>
            </w:pP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740" w:type="dxa"/>
            <w:vAlign w:val="bottom"/>
          </w:tcPr>
          <w:p>
            <w:pPr>
              <w:spacing w:after="0"/>
              <w:rPr>
                <w:sz w:val="20"/>
                <w:szCs w:val="20"/>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0"/>
                <w:szCs w:val="20"/>
                <w:color w:val="auto"/>
              </w:rPr>
            </w:pPr>
          </w:p>
        </w:tc>
        <w:tc>
          <w:tcPr>
            <w:tcW w:w="210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3036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54" w:lineRule="exact"/>
        <w:rPr>
          <w:sz w:val="20"/>
          <w:szCs w:val="20"/>
          <w:color w:val="auto"/>
        </w:rPr>
      </w:pPr>
    </w:p>
    <w:p>
      <w:pPr>
        <w:ind w:left="460" w:right="80" w:hanging="452"/>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has two Class A stock repurchase plans. The initial plan was first publicly announced in March 1998, and the extension of this Plan thru April 1, 2006 was announced on May 26, 2004. Approximately $22.5 million in shares may yet be repurchased under this plan. The second plan was first publicly announced on February 2, 2005. This plan provides for the repurchase of up to an additional $100 million of Class A Common stock. No repurchases have been made under this plan, which does not have a termination date.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121" w:lineRule="exact"/>
        <w:rPr>
          <w:sz w:val="20"/>
          <w:szCs w:val="20"/>
          <w:color w:val="auto"/>
        </w:rPr>
      </w:pPr>
    </w:p>
    <w:p>
      <w:pPr>
        <w:ind w:firstLine="267"/>
        <w:spacing w:after="0" w:line="290" w:lineRule="auto"/>
        <w:rPr>
          <w:sz w:val="20"/>
          <w:szCs w:val="20"/>
          <w:color w:val="auto"/>
        </w:rPr>
      </w:pPr>
      <w:r>
        <w:rPr>
          <w:rFonts w:ascii="Arial" w:cs="Arial" w:eastAsia="Arial" w:hAnsi="Arial"/>
          <w:sz w:val="16"/>
          <w:szCs w:val="16"/>
          <w:color w:val="auto"/>
        </w:rPr>
        <w:t>The table below provides selected consolidated financial data for each of our last five fiscal years. We derived the income statement data for each of our last three fiscal years in the period ended April 2, 2005 and the balance sheet data as of April 2, 2005 and April 3, 2004 from our consolidated financial statements and the accompanying notes, which are included elsewhere in this Annual Report on Form 10-K, and were audited by Deloitte &amp; Touche LLP, our independent registered public accounting firm. The information for the fiscal years ended April 3, 2004, March 29, 2003, March 30, 2002 and March 31, 2001 has been restated to reflect certain lease accounting and other corrections as well as the consolidation of Ralph Lauren Media beginning in Fiscal 2004 (see Note 2 to our consolidated financial statements included in this Annual Report). You should read this consolidated financial data together with our consolidated financial statements and the notes to those financial statements as well as the discussion in this Form 10-K under the caption Item 7 — “MANAGEMENT’S DISCUSSION AND ANALYSIS OF FINANCIAL CONDITIONS AND RESULTS OF OPERATIONS” included elsewhere.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w w:val="91"/>
              </w:rPr>
              <w:t>Fiscal Year Ended(1)</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jc w:val="right"/>
              <w:ind w:right="580"/>
              <w:spacing w:after="0" w:line="133" w:lineRule="exact"/>
              <w:rPr>
                <w:sz w:val="20"/>
                <w:szCs w:val="20"/>
                <w:color w:val="auto"/>
              </w:rPr>
            </w:pPr>
            <w:r>
              <w:rPr>
                <w:rFonts w:ascii="Arial" w:cs="Arial" w:eastAsia="Arial" w:hAnsi="Arial"/>
                <w:sz w:val="14"/>
                <w:szCs w:val="14"/>
                <w:b w:val="1"/>
                <w:bCs w:val="1"/>
                <w:color w:val="auto"/>
              </w:rPr>
              <w:t>April 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right"/>
              <w:ind w:right="400"/>
              <w:spacing w:after="0" w:line="133" w:lineRule="exact"/>
              <w:rPr>
                <w:sz w:val="20"/>
                <w:szCs w:val="20"/>
                <w:color w:val="auto"/>
              </w:rPr>
            </w:pPr>
            <w:r>
              <w:rPr>
                <w:rFonts w:ascii="Arial" w:cs="Arial" w:eastAsia="Arial" w:hAnsi="Arial"/>
                <w:sz w:val="14"/>
                <w:szCs w:val="14"/>
                <w:b w:val="1"/>
                <w:bCs w:val="1"/>
                <w:color w:val="auto"/>
              </w:rPr>
              <w:t>April 3,</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tcPr>
          <w:p>
            <w:pPr>
              <w:jc w:val="right"/>
              <w:ind w:right="800"/>
              <w:spacing w:after="0" w:line="133" w:lineRule="exact"/>
              <w:rPr>
                <w:sz w:val="20"/>
                <w:szCs w:val="20"/>
                <w:color w:val="auto"/>
              </w:rPr>
            </w:pPr>
            <w:r>
              <w:rPr>
                <w:rFonts w:ascii="Arial" w:cs="Arial" w:eastAsia="Arial" w:hAnsi="Arial"/>
                <w:sz w:val="14"/>
                <w:szCs w:val="14"/>
                <w:b w:val="1"/>
                <w:bCs w:val="1"/>
                <w:color w:val="auto"/>
              </w:rPr>
              <w:t>March 29,</w:t>
            </w:r>
          </w:p>
        </w:tc>
        <w:tc>
          <w:tcPr>
            <w:tcW w:w="140" w:type="dxa"/>
            <w:vAlign w:val="bottom"/>
          </w:tcPr>
          <w:p>
            <w:pPr>
              <w:spacing w:after="0"/>
              <w:rPr>
                <w:sz w:val="11"/>
                <w:szCs w:val="11"/>
                <w:color w:val="auto"/>
              </w:rPr>
            </w:pPr>
          </w:p>
        </w:tc>
        <w:tc>
          <w:tcPr>
            <w:tcW w:w="1560" w:type="dxa"/>
            <w:vAlign w:val="bottom"/>
            <w:gridSpan w:val="2"/>
          </w:tcPr>
          <w:p>
            <w:pPr>
              <w:jc w:val="right"/>
              <w:ind w:right="820"/>
              <w:spacing w:after="0" w:line="133" w:lineRule="exact"/>
              <w:rPr>
                <w:sz w:val="20"/>
                <w:szCs w:val="20"/>
                <w:color w:val="auto"/>
              </w:rPr>
            </w:pPr>
            <w:r>
              <w:rPr>
                <w:rFonts w:ascii="Arial" w:cs="Arial" w:eastAsia="Arial" w:hAnsi="Arial"/>
                <w:sz w:val="14"/>
                <w:szCs w:val="14"/>
                <w:b w:val="1"/>
                <w:bCs w:val="1"/>
                <w:color w:val="auto"/>
              </w:rPr>
              <w:t>March 30,</w:t>
            </w:r>
          </w:p>
        </w:tc>
        <w:tc>
          <w:tcPr>
            <w:tcW w:w="140" w:type="dxa"/>
            <w:vAlign w:val="bottom"/>
          </w:tcPr>
          <w:p>
            <w:pPr>
              <w:spacing w:after="0"/>
              <w:rPr>
                <w:sz w:val="11"/>
                <w:szCs w:val="11"/>
                <w:color w:val="auto"/>
              </w:rPr>
            </w:pPr>
          </w:p>
        </w:tc>
        <w:tc>
          <w:tcPr>
            <w:tcW w:w="1000" w:type="dxa"/>
            <w:vAlign w:val="bottom"/>
          </w:tcPr>
          <w:p>
            <w:pPr>
              <w:jc w:val="right"/>
              <w:ind w:right="173"/>
              <w:spacing w:after="0" w:line="133" w:lineRule="exact"/>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2002(2)</w:t>
            </w: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ind w:right="373"/>
              <w:spacing w:after="0" w:line="133" w:lineRule="exact"/>
              <w:rPr>
                <w:sz w:val="20"/>
                <w:szCs w:val="20"/>
                <w:color w:val="auto"/>
              </w:rPr>
            </w:pPr>
            <w:r>
              <w:rPr>
                <w:rFonts w:ascii="Arial" w:cs="Arial" w:eastAsia="Arial" w:hAnsi="Arial"/>
                <w:sz w:val="14"/>
                <w:szCs w:val="14"/>
                <w:b w:val="1"/>
                <w:bCs w:val="1"/>
                <w:color w:val="auto"/>
              </w:rPr>
              <w:t>(As</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ind w:right="373"/>
              <w:spacing w:after="0" w:line="133" w:lineRule="exact"/>
              <w:rPr>
                <w:sz w:val="20"/>
                <w:szCs w:val="20"/>
                <w:color w:val="auto"/>
              </w:rPr>
            </w:pPr>
            <w:r>
              <w:rPr>
                <w:rFonts w:ascii="Arial" w:cs="Arial" w:eastAsia="Arial" w:hAnsi="Arial"/>
                <w:sz w:val="14"/>
                <w:szCs w:val="14"/>
                <w:b w:val="1"/>
                <w:bCs w:val="1"/>
                <w:color w:val="auto"/>
              </w:rPr>
              <w:t>(As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ind w:right="373"/>
              <w:spacing w:after="0" w:line="133" w:lineRule="exact"/>
              <w:rPr>
                <w:sz w:val="20"/>
                <w:szCs w:val="20"/>
                <w:color w:val="auto"/>
              </w:rPr>
            </w:pPr>
            <w:r>
              <w:rPr>
                <w:rFonts w:ascii="Arial" w:cs="Arial" w:eastAsia="Arial" w:hAnsi="Arial"/>
                <w:sz w:val="14"/>
                <w:szCs w:val="14"/>
                <w:b w:val="1"/>
                <w:bCs w:val="1"/>
                <w:color w:val="auto"/>
              </w:rPr>
              <w:t>(As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ind w:right="373"/>
              <w:spacing w:after="0" w:line="133" w:lineRule="exact"/>
              <w:rPr>
                <w:sz w:val="20"/>
                <w:szCs w:val="20"/>
                <w:color w:val="auto"/>
              </w:rPr>
            </w:pPr>
            <w:r>
              <w:rPr>
                <w:rFonts w:ascii="Arial" w:cs="Arial" w:eastAsia="Arial" w:hAnsi="Arial"/>
                <w:sz w:val="14"/>
                <w:szCs w:val="14"/>
                <w:b w:val="1"/>
                <w:bCs w:val="1"/>
                <w:color w:val="auto"/>
              </w:rPr>
              <w:t>(As</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Restated)(3)</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Restated)(3)</w:t>
            </w:r>
          </w:p>
        </w:tc>
        <w:tc>
          <w:tcPr>
            <w:tcW w:w="140" w:type="dxa"/>
            <w:vAlign w:val="bottom"/>
          </w:tcPr>
          <w:p>
            <w:pPr>
              <w:spacing w:after="0"/>
              <w:rPr>
                <w:sz w:val="12"/>
                <w:szCs w:val="12"/>
                <w:color w:val="auto"/>
              </w:rPr>
            </w:pPr>
          </w:p>
        </w:tc>
        <w:tc>
          <w:tcPr>
            <w:tcW w:w="15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Restated)(4)</w:t>
            </w:r>
          </w:p>
        </w:tc>
        <w:tc>
          <w:tcPr>
            <w:tcW w:w="140" w:type="dxa"/>
            <w:vAlign w:val="bottom"/>
          </w:tcPr>
          <w:p>
            <w:pPr>
              <w:spacing w:after="0"/>
              <w:rPr>
                <w:sz w:val="12"/>
                <w:szCs w:val="12"/>
                <w:color w:val="auto"/>
              </w:rPr>
            </w:pP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Restated)(4)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20" w:type="dxa"/>
            <w:vAlign w:val="bottom"/>
            <w:gridSpan w:val="5"/>
          </w:tcPr>
          <w:p>
            <w:pPr>
              <w:jc w:val="right"/>
              <w:spacing w:after="0"/>
              <w:rPr>
                <w:sz w:val="20"/>
                <w:szCs w:val="20"/>
                <w:color w:val="auto"/>
              </w:rPr>
            </w:pPr>
            <w:r>
              <w:rPr>
                <w:rFonts w:ascii="Arial" w:cs="Arial" w:eastAsia="Arial" w:hAnsi="Arial"/>
                <w:sz w:val="14"/>
                <w:szCs w:val="14"/>
                <w:b w:val="1"/>
                <w:bCs w:val="1"/>
                <w:color w:val="auto"/>
                <w:w w:val="91"/>
              </w:rPr>
              <w:t>(In thousands, except per share data)</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Income: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Net sales</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3,060,685</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2,380,844</w:t>
            </w: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2,189,321</w:t>
            </w:r>
          </w:p>
        </w:tc>
        <w:tc>
          <w:tcPr>
            <w:tcW w:w="5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2,122,333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1,982,419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Licensing revenue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244,730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268,810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250,019</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241,374</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243,355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8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3,305,415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2,649,654</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2,439,340</w:t>
            </w: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2,363,707</w:t>
            </w: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2,225,774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1,620,869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1,326,335</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1,231,739</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1,216,904</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1,162,727</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1,684,546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1,323,319</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1,207,601</w:t>
            </w: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1,146,803</w:t>
            </w: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1,063,047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1,382,520</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1,032,862</w:t>
            </w:r>
          </w:p>
        </w:tc>
        <w:tc>
          <w:tcPr>
            <w:tcW w:w="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902,303</w:t>
            </w: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837,478</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826,649</w:t>
            </w: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Restructuring charge</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19,566</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14,443</w:t>
            </w:r>
          </w:p>
        </w:tc>
        <w:tc>
          <w:tcPr>
            <w:tcW w:w="140" w:type="dxa"/>
            <w:vAlign w:val="bottom"/>
          </w:tcPr>
          <w:p>
            <w:pPr>
              <w:spacing w:after="0"/>
              <w:rPr>
                <w:sz w:val="19"/>
                <w:szCs w:val="19"/>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16,000</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123,554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299,685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270,891</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290,855</w:t>
            </w: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293,325</w:t>
            </w: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112,844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Foreign currency (gains) losses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(6,072)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1,864</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529</w:t>
            </w:r>
          </w:p>
        </w:tc>
        <w:tc>
          <w:tcPr>
            <w:tcW w:w="14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(1,820)</w:t>
            </w: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(5,846)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13,502</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19,033</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25,113</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80" w:type="dxa"/>
            <w:vAlign w:val="bottom"/>
            <w:gridSpan w:val="2"/>
          </w:tcPr>
          <w:p>
            <w:pPr>
              <w:spacing w:after="0"/>
              <w:rPr>
                <w:sz w:val="20"/>
                <w:szCs w:val="20"/>
                <w:color w:val="auto"/>
              </w:rPr>
            </w:pPr>
            <w:r>
              <w:rPr>
                <w:rFonts w:ascii="Arial" w:cs="Arial" w:eastAsia="Arial" w:hAnsi="Arial"/>
                <w:sz w:val="18"/>
                <w:szCs w:val="18"/>
                <w:color w:val="auto"/>
                <w:w w:val="95"/>
              </w:rPr>
              <w:t>Income before provision for income taxes</w:t>
            </w: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299,366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259,027</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276,824</w:t>
            </w: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276,112</w:t>
            </w: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93,577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107,336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93,875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101,141</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103,545</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36,913</w:t>
            </w:r>
          </w:p>
        </w:tc>
        <w:tc>
          <w:tcPr>
            <w:tcW w:w="0" w:type="dxa"/>
            <w:vAlign w:val="bottom"/>
          </w:tcPr>
          <w:p>
            <w:pPr>
              <w:spacing w:after="0"/>
              <w:rPr>
                <w:sz w:val="1"/>
                <w:szCs w:val="1"/>
                <w:color w:val="auto"/>
              </w:rPr>
            </w:pPr>
          </w:p>
        </w:tc>
      </w:tr>
      <w:tr>
        <w:trPr>
          <w:trHeight w:val="209"/>
        </w:trPr>
        <w:tc>
          <w:tcPr>
            <w:tcW w:w="3180" w:type="dxa"/>
            <w:vAlign w:val="bottom"/>
            <w:gridSpan w:val="2"/>
          </w:tcPr>
          <w:p>
            <w:pPr>
              <w:spacing w:after="0"/>
              <w:rPr>
                <w:sz w:val="20"/>
                <w:szCs w:val="20"/>
                <w:color w:val="auto"/>
              </w:rPr>
            </w:pPr>
            <w:r>
              <w:rPr>
                <w:rFonts w:ascii="Arial" w:cs="Arial" w:eastAsia="Arial" w:hAnsi="Arial"/>
                <w:sz w:val="18"/>
                <w:szCs w:val="18"/>
                <w:color w:val="auto"/>
              </w:rPr>
              <w:t>Income after tax, before other expense</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ind w:left="120"/>
              <w:spacing w:after="0"/>
              <w:rPr>
                <w:sz w:val="20"/>
                <w:szCs w:val="20"/>
                <w:color w:val="auto"/>
              </w:rPr>
            </w:pPr>
            <w:r>
              <w:rPr>
                <w:rFonts w:ascii="Arial" w:cs="Arial" w:eastAsia="Arial" w:hAnsi="Arial"/>
                <w:sz w:val="18"/>
                <w:szCs w:val="18"/>
                <w:color w:val="auto"/>
              </w:rPr>
              <w:t>(income)</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192,030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165,152</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175,683</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172,567</w:t>
            </w:r>
          </w:p>
        </w:tc>
        <w:tc>
          <w:tcPr>
            <w:tcW w:w="14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56,664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190,425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169,229</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175,683</w:t>
            </w: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172,567</w:t>
            </w: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56,664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
        </w:trPr>
        <w:tc>
          <w:tcPr>
            <w:tcW w:w="318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 — Diluted</w:t>
            </w: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1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5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5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3180" w:type="dxa"/>
            <w:vAlign w:val="bottom"/>
            <w:gridSpan w:val="2"/>
            <w:vMerge w:val="restart"/>
          </w:tcPr>
          <w:p>
            <w:pPr>
              <w:spacing w:after="0"/>
              <w:rPr>
                <w:sz w:val="20"/>
                <w:szCs w:val="20"/>
                <w:color w:val="auto"/>
              </w:rPr>
            </w:pPr>
            <w:r>
              <w:rPr>
                <w:rFonts w:ascii="Arial" w:cs="Arial" w:eastAsia="Arial" w:hAnsi="Arial"/>
                <w:sz w:val="18"/>
                <w:szCs w:val="18"/>
                <w:color w:val="auto"/>
              </w:rPr>
              <w:t>Weighted-average common shares</w:t>
            </w: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1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ind w:left="120"/>
              <w:spacing w:after="0"/>
              <w:rPr>
                <w:sz w:val="20"/>
                <w:szCs w:val="20"/>
                <w:color w:val="auto"/>
              </w:rPr>
            </w:pPr>
            <w:r>
              <w:rPr>
                <w:rFonts w:ascii="Arial" w:cs="Arial" w:eastAsia="Arial" w:hAnsi="Arial"/>
                <w:sz w:val="18"/>
                <w:szCs w:val="18"/>
                <w:color w:val="auto"/>
              </w:rPr>
              <w:t>outstanding — Basic</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101,519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98,977</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98,331</w:t>
            </w:r>
          </w:p>
        </w:tc>
        <w:tc>
          <w:tcPr>
            <w:tcW w:w="140" w:type="dxa"/>
            <w:vAlign w:val="bottom"/>
          </w:tcPr>
          <w:p>
            <w:pPr>
              <w:spacing w:after="0"/>
              <w:rPr>
                <w:sz w:val="20"/>
                <w:szCs w:val="20"/>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97,470</w:t>
            </w:r>
          </w:p>
        </w:tc>
        <w:tc>
          <w:tcPr>
            <w:tcW w:w="14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96,773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common shares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outstanding — Diluted</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104,010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100,960</w:t>
            </w: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99,263</w:t>
            </w:r>
          </w:p>
        </w:tc>
        <w:tc>
          <w:tcPr>
            <w:tcW w:w="1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98,522</w:t>
            </w: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97,446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Fiscal Year Ended(1)</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33"/>
        </w:trPr>
        <w:tc>
          <w:tcPr>
            <w:tcW w:w="20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right"/>
              <w:ind w:right="520"/>
              <w:spacing w:after="0" w:line="133" w:lineRule="exact"/>
              <w:rPr>
                <w:sz w:val="20"/>
                <w:szCs w:val="20"/>
                <w:color w:val="auto"/>
              </w:rPr>
            </w:pPr>
            <w:r>
              <w:rPr>
                <w:rFonts w:ascii="Arial" w:cs="Arial" w:eastAsia="Arial" w:hAnsi="Arial"/>
                <w:sz w:val="14"/>
                <w:szCs w:val="14"/>
                <w:b w:val="1"/>
                <w:bCs w:val="1"/>
                <w:color w:val="auto"/>
              </w:rPr>
              <w:t>April 2,</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rPr>
              <w:t>April 3,</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720"/>
              <w:spacing w:after="0" w:line="133" w:lineRule="exact"/>
              <w:rPr>
                <w:sz w:val="20"/>
                <w:szCs w:val="20"/>
                <w:color w:val="auto"/>
              </w:rPr>
            </w:pPr>
            <w:r>
              <w:rPr>
                <w:rFonts w:ascii="Arial" w:cs="Arial" w:eastAsia="Arial" w:hAnsi="Arial"/>
                <w:sz w:val="14"/>
                <w:szCs w:val="14"/>
                <w:b w:val="1"/>
                <w:bCs w:val="1"/>
                <w:color w:val="auto"/>
                <w:w w:val="95"/>
              </w:rPr>
              <w:t>March 29,</w:t>
            </w:r>
          </w:p>
        </w:tc>
        <w:tc>
          <w:tcPr>
            <w:tcW w:w="180" w:type="dxa"/>
            <w:vAlign w:val="bottom"/>
          </w:tcPr>
          <w:p>
            <w:pPr>
              <w:spacing w:after="0"/>
              <w:rPr>
                <w:sz w:val="11"/>
                <w:szCs w:val="11"/>
                <w:color w:val="auto"/>
              </w:rPr>
            </w:pPr>
          </w:p>
        </w:tc>
        <w:tc>
          <w:tcPr>
            <w:tcW w:w="1240" w:type="dxa"/>
            <w:vAlign w:val="bottom"/>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95"/>
              </w:rPr>
              <w:t>March 30,</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99"/>
              </w:rPr>
              <w:t>March 31,</w:t>
            </w:r>
          </w:p>
        </w:tc>
        <w:tc>
          <w:tcPr>
            <w:tcW w:w="320" w:type="dxa"/>
            <w:vAlign w:val="bottom"/>
          </w:tcPr>
          <w:p>
            <w:pPr>
              <w:spacing w:after="0"/>
              <w:rPr>
                <w:sz w:val="11"/>
                <w:szCs w:val="11"/>
                <w:color w:val="auto"/>
              </w:rPr>
            </w:pPr>
          </w:p>
        </w:tc>
      </w:tr>
      <w:tr>
        <w:trPr>
          <w:trHeight w:val="171"/>
        </w:trPr>
        <w:tc>
          <w:tcPr>
            <w:tcW w:w="2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2003</w:t>
            </w:r>
          </w:p>
        </w:tc>
        <w:tc>
          <w:tcPr>
            <w:tcW w:w="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14"/>
                <w:szCs w:val="14"/>
                <w:color w:val="auto"/>
              </w:rPr>
            </w:pPr>
          </w:p>
        </w:tc>
      </w:tr>
      <w:tr>
        <w:trPr>
          <w:trHeight w:val="133"/>
        </w:trPr>
        <w:tc>
          <w:tcPr>
            <w:tcW w:w="20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ind w:right="98"/>
              <w:spacing w:after="0" w:line="133" w:lineRule="exact"/>
              <w:rPr>
                <w:sz w:val="20"/>
                <w:szCs w:val="20"/>
                <w:color w:val="auto"/>
              </w:rPr>
            </w:pPr>
            <w:r>
              <w:rPr>
                <w:rFonts w:ascii="Arial" w:cs="Arial" w:eastAsia="Arial" w:hAnsi="Arial"/>
                <w:sz w:val="14"/>
                <w:szCs w:val="14"/>
                <w:b w:val="1"/>
                <w:bCs w:val="1"/>
                <w:color w:val="auto"/>
                <w:w w:val="88"/>
              </w:rPr>
              <w:t>(As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118"/>
              <w:spacing w:after="0" w:line="133" w:lineRule="exact"/>
              <w:rPr>
                <w:sz w:val="20"/>
                <w:szCs w:val="20"/>
                <w:color w:val="auto"/>
              </w:rPr>
            </w:pPr>
            <w:r>
              <w:rPr>
                <w:rFonts w:ascii="Arial" w:cs="Arial" w:eastAsia="Arial" w:hAnsi="Arial"/>
                <w:sz w:val="14"/>
                <w:szCs w:val="14"/>
                <w:b w:val="1"/>
                <w:bCs w:val="1"/>
                <w:color w:val="auto"/>
                <w:w w:val="88"/>
              </w:rPr>
              <w:t>(As</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88"/>
              </w:rPr>
              <w:t>(As</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88"/>
              </w:rPr>
              <w:t>(As</w:t>
            </w:r>
          </w:p>
        </w:tc>
        <w:tc>
          <w:tcPr>
            <w:tcW w:w="320" w:type="dxa"/>
            <w:vAlign w:val="bottom"/>
          </w:tcPr>
          <w:p>
            <w:pPr>
              <w:spacing w:after="0"/>
              <w:rPr>
                <w:sz w:val="11"/>
                <w:szCs w:val="11"/>
                <w:color w:val="auto"/>
              </w:rPr>
            </w:pPr>
          </w:p>
        </w:tc>
      </w:tr>
      <w:tr>
        <w:trPr>
          <w:trHeight w:val="149"/>
        </w:trPr>
        <w:tc>
          <w:tcPr>
            <w:tcW w:w="20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Restated)</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Restated)</w:t>
            </w:r>
          </w:p>
        </w:tc>
        <w:tc>
          <w:tcPr>
            <w:tcW w:w="18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Restated)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Restated)</w:t>
            </w:r>
          </w:p>
        </w:tc>
      </w:tr>
      <w:tr>
        <w:trPr>
          <w:trHeight w:val="149"/>
        </w:trPr>
        <w:tc>
          <w:tcPr>
            <w:tcW w:w="20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398"/>
              <w:spacing w:after="0" w:line="149" w:lineRule="exact"/>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418"/>
              <w:spacing w:after="0" w:line="149" w:lineRule="exact"/>
              <w:rPr>
                <w:sz w:val="20"/>
                <w:szCs w:val="20"/>
                <w:color w:val="auto"/>
              </w:rPr>
            </w:pPr>
            <w:r>
              <w:rPr>
                <w:rFonts w:ascii="Arial" w:cs="Arial" w:eastAsia="Arial" w:hAnsi="Arial"/>
                <w:sz w:val="14"/>
                <w:szCs w:val="14"/>
                <w:b w:val="1"/>
                <w:bCs w:val="1"/>
                <w:color w:val="auto"/>
              </w:rPr>
              <w:t>(3)</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398"/>
              <w:spacing w:after="0" w:line="149" w:lineRule="exact"/>
              <w:rPr>
                <w:sz w:val="20"/>
                <w:szCs w:val="20"/>
                <w:color w:val="auto"/>
              </w:rPr>
            </w:pPr>
            <w:r>
              <w:rPr>
                <w:rFonts w:ascii="Arial" w:cs="Arial" w:eastAsia="Arial" w:hAnsi="Arial"/>
                <w:sz w:val="14"/>
                <w:szCs w:val="14"/>
                <w:b w:val="1"/>
                <w:bCs w:val="1"/>
                <w:color w:val="auto"/>
              </w:rPr>
              <w:t>(4)</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398"/>
              <w:spacing w:after="0" w:line="149" w:lineRule="exact"/>
              <w:rPr>
                <w:sz w:val="20"/>
                <w:szCs w:val="20"/>
                <w:color w:val="auto"/>
              </w:rPr>
            </w:pPr>
            <w:r>
              <w:rPr>
                <w:rFonts w:ascii="Arial" w:cs="Arial" w:eastAsia="Arial" w:hAnsi="Arial"/>
                <w:sz w:val="14"/>
                <w:szCs w:val="14"/>
                <w:b w:val="1"/>
                <w:bCs w:val="1"/>
                <w:color w:val="auto"/>
              </w:rPr>
              <w:t>(4)</w:t>
            </w:r>
          </w:p>
        </w:tc>
        <w:tc>
          <w:tcPr>
            <w:tcW w:w="320" w:type="dxa"/>
            <w:vAlign w:val="bottom"/>
          </w:tcPr>
          <w:p>
            <w:pPr>
              <w:spacing w:after="0"/>
              <w:rPr>
                <w:sz w:val="12"/>
                <w:szCs w:val="12"/>
                <w:color w:val="auto"/>
              </w:rPr>
            </w:pPr>
          </w:p>
        </w:tc>
      </w:tr>
      <w:tr>
        <w:trPr>
          <w:trHeight w:val="171"/>
        </w:trPr>
        <w:tc>
          <w:tcPr>
            <w:tcW w:w="2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gridSpan w:val="4"/>
          </w:tcPr>
          <w:p>
            <w:pPr>
              <w:ind w:left="26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w w:val="94"/>
              </w:rPr>
              <w:t>Cash and cash equivalents</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350,485</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352,335</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343,606</w:t>
            </w:r>
          </w:p>
        </w:tc>
        <w:tc>
          <w:tcPr>
            <w:tcW w:w="5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244,733</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102,219</w:t>
            </w: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791,353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781,951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662,386</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617,465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462,144</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Inventories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430,082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373,170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363,771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349,818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425,594</w:t>
            </w: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2,726,669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2,297,552</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2,052,388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1,762,743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1,635,513</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Total debt</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290,960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277,345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349,437</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318,402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383,100</w:t>
            </w: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1,675,708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1,415,447</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1,205,583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993,027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803,892</w:t>
            </w:r>
          </w:p>
        </w:tc>
      </w:tr>
      <w:tr>
        <w:trPr>
          <w:trHeight w:val="108"/>
        </w:trPr>
        <w:tc>
          <w:tcPr>
            <w:tcW w:w="2060" w:type="dxa"/>
            <w:vAlign w:val="bottom"/>
            <w:tcBorders>
              <w:bottom w:val="single" w:sz="8" w:color="auto"/>
            </w:tcBorders>
          </w:tcPr>
          <w:p>
            <w:pPr>
              <w:spacing w:after="0"/>
              <w:rPr>
                <w:sz w:val="9"/>
                <w:szCs w:val="9"/>
                <w:color w:val="auto"/>
              </w:rPr>
            </w:pPr>
          </w:p>
        </w:tc>
        <w:tc>
          <w:tcPr>
            <w:tcW w:w="1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320" w:type="dxa"/>
            <w:vAlign w:val="bottom"/>
          </w:tcPr>
          <w:p>
            <w:pPr>
              <w:spacing w:after="0"/>
              <w:rPr>
                <w:sz w:val="9"/>
                <w:szCs w:val="9"/>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63"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periods presented represent a 52-week year, except Fiscal 2004, which represents a 53-week year.</w:t>
      </w:r>
    </w:p>
    <w:p>
      <w:pPr>
        <w:spacing w:after="0" w:line="76" w:lineRule="exact"/>
        <w:rPr>
          <w:rFonts w:ascii="Arial" w:cs="Arial" w:eastAsia="Arial" w:hAnsi="Arial"/>
          <w:sz w:val="18"/>
          <w:szCs w:val="18"/>
          <w:color w:val="auto"/>
        </w:rPr>
      </w:pPr>
    </w:p>
    <w:p>
      <w:pPr>
        <w:ind w:left="460" w:right="60" w:hanging="452"/>
        <w:spacing w:after="0" w:line="276"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Effective December 31, 2001, for reporting purposes the Company changed the fiscal year ends of its European subsidiaries as reported in the consolidated financial statements to the Saturday closest to March 31 to conform with the fiscal year end of the Company. Previously, certain of the European subsidiaries were consolidated and reported on a three-month lag with a fiscal year ending December 31. Accordingly, the net activity shown below for the three-month period ended December 29, 2001, for those European subsidiaries is reported as an adjustment to Retained earnings in the fourth quarter of fiscal 2002 in the accompanying financial statements: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80" w:type="dxa"/>
            <w:vAlign w:val="bottom"/>
            <w:gridSpan w:val="2"/>
          </w:tcPr>
          <w:p>
            <w:pPr>
              <w:jc w:val="center"/>
              <w:ind w:right="1500"/>
              <w:spacing w:after="0"/>
              <w:rPr>
                <w:sz w:val="20"/>
                <w:szCs w:val="20"/>
                <w:color w:val="auto"/>
              </w:rPr>
            </w:pPr>
            <w:r>
              <w:rPr>
                <w:rFonts w:ascii="Arial" w:cs="Arial" w:eastAsia="Arial" w:hAnsi="Arial"/>
                <w:sz w:val="14"/>
                <w:szCs w:val="14"/>
                <w:b w:val="1"/>
                <w:bCs w:val="1"/>
                <w:color w:val="auto"/>
                <w:w w:val="94"/>
              </w:rPr>
              <w:t>Three-Months Ended</w:t>
            </w:r>
          </w:p>
        </w:tc>
      </w:tr>
      <w:tr>
        <w:trPr>
          <w:trHeight w:val="171"/>
        </w:trPr>
        <w:tc>
          <w:tcPr>
            <w:tcW w:w="55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80" w:type="dxa"/>
            <w:vAlign w:val="bottom"/>
            <w:gridSpan w:val="2"/>
          </w:tcPr>
          <w:p>
            <w:pPr>
              <w:jc w:val="center"/>
              <w:ind w:right="1500"/>
              <w:spacing w:after="0"/>
              <w:rPr>
                <w:sz w:val="20"/>
                <w:szCs w:val="20"/>
                <w:color w:val="auto"/>
              </w:rPr>
            </w:pPr>
            <w:r>
              <w:rPr>
                <w:rFonts w:ascii="Arial" w:cs="Arial" w:eastAsia="Arial" w:hAnsi="Arial"/>
                <w:sz w:val="14"/>
                <w:szCs w:val="14"/>
                <w:b w:val="1"/>
                <w:bCs w:val="1"/>
                <w:color w:val="auto"/>
                <w:w w:val="91"/>
              </w:rPr>
              <w:t>December 29, 2001</w:t>
            </w:r>
          </w:p>
        </w:tc>
      </w:tr>
      <w:tr>
        <w:trPr>
          <w:trHeight w:val="133"/>
        </w:trPr>
        <w:tc>
          <w:tcPr>
            <w:tcW w:w="55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jc w:val="center"/>
              <w:ind w:right="79"/>
              <w:spacing w:after="0" w:line="133" w:lineRule="exact"/>
              <w:rPr>
                <w:sz w:val="20"/>
                <w:szCs w:val="20"/>
                <w:color w:val="auto"/>
              </w:rPr>
            </w:pPr>
            <w:r>
              <w:rPr>
                <w:rFonts w:ascii="Arial" w:cs="Arial" w:eastAsia="Arial" w:hAnsi="Arial"/>
                <w:sz w:val="14"/>
                <w:szCs w:val="14"/>
                <w:b w:val="1"/>
                <w:bCs w:val="1"/>
                <w:color w:val="auto"/>
                <w:w w:val="91"/>
              </w:rPr>
              <w:t>As Restated</w:t>
            </w:r>
          </w:p>
        </w:tc>
        <w:tc>
          <w:tcPr>
            <w:tcW w:w="1360" w:type="dxa"/>
            <w:vAlign w:val="bottom"/>
          </w:tcPr>
          <w:p>
            <w:pPr>
              <w:spacing w:after="0"/>
              <w:rPr>
                <w:sz w:val="11"/>
                <w:szCs w:val="11"/>
                <w:color w:val="auto"/>
              </w:rPr>
            </w:pPr>
          </w:p>
        </w:tc>
      </w:tr>
      <w:tr>
        <w:trPr>
          <w:trHeight w:val="149"/>
        </w:trPr>
        <w:tc>
          <w:tcPr>
            <w:tcW w:w="55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rPr>
              <w:t>(4)</w:t>
            </w:r>
          </w:p>
        </w:tc>
        <w:tc>
          <w:tcPr>
            <w:tcW w:w="1360" w:type="dxa"/>
            <w:vAlign w:val="bottom"/>
          </w:tcPr>
          <w:p>
            <w:pPr>
              <w:spacing w:after="0"/>
              <w:rPr>
                <w:sz w:val="12"/>
                <w:szCs w:val="12"/>
                <w:color w:val="auto"/>
              </w:rPr>
            </w:pPr>
          </w:p>
        </w:tc>
      </w:tr>
      <w:tr>
        <w:trPr>
          <w:trHeight w:val="171"/>
        </w:trPr>
        <w:tc>
          <w:tcPr>
            <w:tcW w:w="55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80" w:type="dxa"/>
            <w:vAlign w:val="bottom"/>
            <w:gridSpan w:val="2"/>
          </w:tcPr>
          <w:p>
            <w:pPr>
              <w:jc w:val="center"/>
              <w:ind w:right="1520"/>
              <w:spacing w:after="0"/>
              <w:rPr>
                <w:sz w:val="20"/>
                <w:szCs w:val="20"/>
                <w:color w:val="auto"/>
              </w:rPr>
            </w:pPr>
            <w:r>
              <w:rPr>
                <w:rFonts w:ascii="Arial" w:cs="Arial" w:eastAsia="Arial" w:hAnsi="Arial"/>
                <w:sz w:val="14"/>
                <w:szCs w:val="14"/>
                <w:b w:val="1"/>
                <w:bCs w:val="1"/>
                <w:color w:val="auto"/>
                <w:w w:val="93"/>
              </w:rPr>
              <w:t>(Dollars in millions)</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98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49.5</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Gross profit</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80" w:type="dxa"/>
            <w:vAlign w:val="bottom"/>
            <w:gridSpan w:val="2"/>
          </w:tcPr>
          <w:p>
            <w:pPr>
              <w:jc w:val="right"/>
              <w:ind w:right="1360"/>
              <w:spacing w:after="0"/>
              <w:rPr>
                <w:sz w:val="20"/>
                <w:szCs w:val="20"/>
                <w:color w:val="auto"/>
              </w:rPr>
            </w:pPr>
            <w:r>
              <w:rPr>
                <w:rFonts w:ascii="Arial" w:cs="Arial" w:eastAsia="Arial" w:hAnsi="Arial"/>
                <w:sz w:val="18"/>
                <w:szCs w:val="18"/>
                <w:color w:val="auto"/>
              </w:rPr>
              <w:t>25.5</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Loss before benefit from income taxes</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(0.7)</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0.3</w:t>
            </w:r>
          </w:p>
        </w:tc>
        <w:tc>
          <w:tcPr>
            <w:tcW w:w="136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98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(0.4)</w:t>
            </w:r>
          </w:p>
        </w:tc>
      </w:tr>
    </w:tbl>
    <w:p>
      <w:pPr>
        <w:spacing w:after="0" w:line="94" w:lineRule="exact"/>
        <w:rPr>
          <w:sz w:val="20"/>
          <w:szCs w:val="20"/>
          <w:color w:val="auto"/>
        </w:rPr>
      </w:pPr>
    </w:p>
    <w:p>
      <w:pPr>
        <w:ind w:right="160" w:firstLine="270"/>
        <w:spacing w:after="0" w:line="277" w:lineRule="auto"/>
        <w:rPr>
          <w:sz w:val="20"/>
          <w:szCs w:val="20"/>
          <w:color w:val="auto"/>
        </w:rPr>
      </w:pPr>
      <w:r>
        <w:rPr>
          <w:rFonts w:ascii="Arial" w:cs="Arial" w:eastAsia="Arial" w:hAnsi="Arial"/>
          <w:sz w:val="18"/>
          <w:szCs w:val="18"/>
          <w:color w:val="auto"/>
        </w:rPr>
        <w:t>Net income for the year ended March 30, 2002, for the consolidated company as if the European subsidiaries remained on a three-month lag would have been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gridSpan w:val="2"/>
          </w:tcPr>
          <w:p>
            <w:pPr>
              <w:jc w:val="center"/>
              <w:ind w:right="1500"/>
              <w:spacing w:after="0"/>
              <w:rPr>
                <w:sz w:val="20"/>
                <w:szCs w:val="20"/>
                <w:color w:val="auto"/>
              </w:rPr>
            </w:pPr>
            <w:r>
              <w:rPr>
                <w:rFonts w:ascii="Arial" w:cs="Arial" w:eastAsia="Arial" w:hAnsi="Arial"/>
                <w:sz w:val="14"/>
                <w:szCs w:val="14"/>
                <w:b w:val="1"/>
                <w:bCs w:val="1"/>
                <w:color w:val="auto"/>
                <w:w w:val="93"/>
              </w:rPr>
              <w:t>Twelve-Months Ended</w:t>
            </w:r>
          </w:p>
        </w:tc>
      </w:tr>
      <w:tr>
        <w:trPr>
          <w:trHeight w:val="171"/>
        </w:trPr>
        <w:tc>
          <w:tcPr>
            <w:tcW w:w="8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gridSpan w:val="2"/>
          </w:tcPr>
          <w:p>
            <w:pPr>
              <w:jc w:val="center"/>
              <w:ind w:right="1500"/>
              <w:spacing w:after="0"/>
              <w:rPr>
                <w:sz w:val="20"/>
                <w:szCs w:val="20"/>
                <w:color w:val="auto"/>
              </w:rPr>
            </w:pPr>
            <w:r>
              <w:rPr>
                <w:rFonts w:ascii="Arial" w:cs="Arial" w:eastAsia="Arial" w:hAnsi="Arial"/>
                <w:sz w:val="14"/>
                <w:szCs w:val="14"/>
                <w:b w:val="1"/>
                <w:bCs w:val="1"/>
                <w:color w:val="auto"/>
                <w:w w:val="94"/>
              </w:rPr>
              <w:t>March 30, 2002</w:t>
            </w:r>
          </w:p>
        </w:tc>
      </w:tr>
      <w:tr>
        <w:trPr>
          <w:trHeight w:val="133"/>
        </w:trPr>
        <w:tc>
          <w:tcPr>
            <w:tcW w:w="8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tcPr>
          <w:p>
            <w:pPr>
              <w:jc w:val="center"/>
              <w:ind w:right="99"/>
              <w:spacing w:after="0" w:line="133" w:lineRule="exact"/>
              <w:rPr>
                <w:sz w:val="20"/>
                <w:szCs w:val="20"/>
                <w:color w:val="auto"/>
              </w:rPr>
            </w:pPr>
            <w:r>
              <w:rPr>
                <w:rFonts w:ascii="Arial" w:cs="Arial" w:eastAsia="Arial" w:hAnsi="Arial"/>
                <w:sz w:val="14"/>
                <w:szCs w:val="14"/>
                <w:b w:val="1"/>
                <w:bCs w:val="1"/>
                <w:color w:val="auto"/>
                <w:w w:val="91"/>
              </w:rPr>
              <w:t>As Restated</w:t>
            </w:r>
          </w:p>
        </w:tc>
        <w:tc>
          <w:tcPr>
            <w:tcW w:w="1320" w:type="dxa"/>
            <w:vAlign w:val="bottom"/>
          </w:tcPr>
          <w:p>
            <w:pPr>
              <w:spacing w:after="0"/>
              <w:rPr>
                <w:sz w:val="11"/>
                <w:szCs w:val="11"/>
                <w:color w:val="auto"/>
              </w:rPr>
            </w:pPr>
          </w:p>
        </w:tc>
      </w:tr>
      <w:tr>
        <w:trPr>
          <w:trHeight w:val="149"/>
        </w:trPr>
        <w:tc>
          <w:tcPr>
            <w:tcW w:w="8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rPr>
              <w:t>(4)</w:t>
            </w:r>
          </w:p>
        </w:tc>
        <w:tc>
          <w:tcPr>
            <w:tcW w:w="1320" w:type="dxa"/>
            <w:vAlign w:val="bottom"/>
          </w:tcPr>
          <w:p>
            <w:pPr>
              <w:spacing w:after="0"/>
              <w:rPr>
                <w:sz w:val="12"/>
                <w:szCs w:val="12"/>
                <w:color w:val="auto"/>
              </w:rPr>
            </w:pPr>
          </w:p>
        </w:tc>
      </w:tr>
      <w:tr>
        <w:trPr>
          <w:trHeight w:val="171"/>
        </w:trPr>
        <w:tc>
          <w:tcPr>
            <w:tcW w:w="8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gridSpan w:val="2"/>
          </w:tcPr>
          <w:p>
            <w:pPr>
              <w:jc w:val="center"/>
              <w:ind w:right="1500"/>
              <w:spacing w:after="0"/>
              <w:rPr>
                <w:sz w:val="20"/>
                <w:szCs w:val="20"/>
                <w:color w:val="auto"/>
              </w:rPr>
            </w:pPr>
            <w:r>
              <w:rPr>
                <w:rFonts w:ascii="Arial" w:cs="Arial" w:eastAsia="Arial" w:hAnsi="Arial"/>
                <w:sz w:val="14"/>
                <w:szCs w:val="14"/>
                <w:b w:val="1"/>
                <w:bCs w:val="1"/>
                <w:color w:val="auto"/>
                <w:w w:val="93"/>
              </w:rPr>
              <w:t>(Dollars in millions)</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312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2,286.9</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3120" w:type="dxa"/>
            <w:vAlign w:val="bottom"/>
            <w:gridSpan w:val="2"/>
          </w:tcPr>
          <w:p>
            <w:pPr>
              <w:jc w:val="right"/>
              <w:ind w:right="1300"/>
              <w:spacing w:after="0"/>
              <w:rPr>
                <w:sz w:val="20"/>
                <w:szCs w:val="20"/>
                <w:color w:val="auto"/>
              </w:rPr>
            </w:pPr>
            <w:r>
              <w:rPr>
                <w:rFonts w:ascii="Arial" w:cs="Arial" w:eastAsia="Arial" w:hAnsi="Arial"/>
                <w:sz w:val="18"/>
                <w:szCs w:val="18"/>
                <w:color w:val="auto"/>
              </w:rPr>
              <w:t>1,105.8</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255.6</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8"/>
                <w:szCs w:val="18"/>
                <w:color w:val="auto"/>
              </w:rPr>
            </w:pPr>
          </w:p>
        </w:tc>
        <w:tc>
          <w:tcPr>
            <w:tcW w:w="3120" w:type="dxa"/>
            <w:vAlign w:val="bottom"/>
            <w:gridSpan w:val="2"/>
          </w:tcPr>
          <w:p>
            <w:pPr>
              <w:jc w:val="right"/>
              <w:ind w:right="1260"/>
              <w:spacing w:after="0"/>
              <w:rPr>
                <w:sz w:val="20"/>
                <w:szCs w:val="20"/>
                <w:color w:val="auto"/>
              </w:rPr>
            </w:pPr>
            <w:r>
              <w:rPr>
                <w:rFonts w:ascii="Arial" w:cs="Arial" w:eastAsia="Arial" w:hAnsi="Arial"/>
                <w:sz w:val="18"/>
                <w:szCs w:val="18"/>
                <w:color w:val="auto"/>
              </w:rPr>
              <w:t>(95.8)</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312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159.8</w:t>
            </w:r>
          </w:p>
        </w:tc>
      </w:tr>
    </w:tbl>
    <w:p>
      <w:pPr>
        <w:spacing w:after="0" w:line="40"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 Note 2 to our consolidated financial statements included in this Form 10-K.</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Fiscal 2002 and Fiscal 2001 have been restated to reflect the lease accounting adjustments discussed in Note 2 to the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100" w:firstLine="267"/>
        <w:spacing w:after="0" w:line="259" w:lineRule="auto"/>
        <w:rPr>
          <w:sz w:val="20"/>
          <w:szCs w:val="20"/>
          <w:color w:val="auto"/>
        </w:rPr>
      </w:pPr>
      <w:r>
        <w:rPr>
          <w:rFonts w:ascii="Arial" w:cs="Arial" w:eastAsia="Arial" w:hAnsi="Arial"/>
          <w:sz w:val="18"/>
          <w:szCs w:val="18"/>
          <w:color w:val="auto"/>
        </w:rPr>
        <w:t>The following discussion and analysis is a summary and should be read together with our consolidated financial statements and the accompanying notes, which are included in this Annual Report on Form 10-K. We use a 52-53 week fiscal year ending on the Saturday nearest March 31. References to “Fiscal 2005” represent the 52-week fiscal year ended April 2, 2005. References to “Fiscal 2004” represent the 53-week fiscal year ended April 3, 2004, and references to “Fiscal 2003” represent the 52-week fiscal year ended March 29, 2003.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operate in three integrated segments: wholesale, retail and licensing.</w:t>
      </w:r>
    </w:p>
    <w:p>
      <w:pPr>
        <w:spacing w:after="0" w:line="117" w:lineRule="exact"/>
        <w:rPr>
          <w:sz w:val="20"/>
          <w:szCs w:val="20"/>
          <w:color w:val="auto"/>
        </w:rPr>
      </w:pPr>
    </w:p>
    <w:p>
      <w:pPr>
        <w:ind w:right="220" w:firstLine="267"/>
        <w:spacing w:after="0" w:line="312" w:lineRule="auto"/>
        <w:rPr>
          <w:sz w:val="20"/>
          <w:szCs w:val="20"/>
          <w:color w:val="auto"/>
        </w:rPr>
      </w:pPr>
      <w:r>
        <w:rPr>
          <w:rFonts w:ascii="Arial" w:cs="Arial" w:eastAsia="Arial" w:hAnsi="Arial"/>
          <w:sz w:val="16"/>
          <w:szCs w:val="16"/>
          <w:color w:val="auto"/>
        </w:rPr>
        <w:t>Wholesale consists of women’s, men’s and children’s apparel. Teams comprising design, merchandising, sales and production staff work together to develop product groupings that are organized to convey a variety of design concepts. This segment includes the Polo Ralph Lauren product lines as well as Lauren, Blue Label, Polo Golf, RLX Polo Sport, Women’s Ralph Lauren Collection and Black Label, and Men’s Purple Label Collection.</w:t>
      </w:r>
    </w:p>
    <w:p>
      <w:pPr>
        <w:spacing w:after="0" w:line="39" w:lineRule="exact"/>
        <w:rPr>
          <w:sz w:val="20"/>
          <w:szCs w:val="20"/>
          <w:color w:val="auto"/>
        </w:rPr>
      </w:pPr>
    </w:p>
    <w:p>
      <w:pPr>
        <w:ind w:right="80" w:firstLine="270"/>
        <w:spacing w:after="0" w:line="308" w:lineRule="auto"/>
        <w:rPr>
          <w:sz w:val="20"/>
          <w:szCs w:val="20"/>
          <w:color w:val="auto"/>
        </w:rPr>
      </w:pPr>
      <w:r>
        <w:rPr>
          <w:rFonts w:ascii="Arial" w:cs="Arial" w:eastAsia="Arial" w:hAnsi="Arial"/>
          <w:sz w:val="17"/>
          <w:szCs w:val="17"/>
          <w:color w:val="auto"/>
        </w:rPr>
        <w:t>Retail consists of our worldwide Ralph Lauren retail operations that sell our product through Ralph Lauren, Club Monaco full-price and outlet stores and Rugby full-price stores as well as Ralph Lauren Media, our 50% owned e-commerce joint venture, which sells product over the Internet.</w:t>
      </w:r>
    </w:p>
    <w:p>
      <w:pPr>
        <w:spacing w:after="0" w:line="38" w:lineRule="exact"/>
        <w:rPr>
          <w:sz w:val="20"/>
          <w:szCs w:val="20"/>
          <w:color w:val="auto"/>
        </w:rPr>
      </w:pPr>
    </w:p>
    <w:p>
      <w:pPr>
        <w:ind w:right="60" w:firstLine="270"/>
        <w:spacing w:after="0" w:line="264" w:lineRule="auto"/>
        <w:rPr>
          <w:sz w:val="20"/>
          <w:szCs w:val="20"/>
          <w:color w:val="auto"/>
        </w:rPr>
      </w:pPr>
      <w:r>
        <w:rPr>
          <w:rFonts w:ascii="Arial" w:cs="Arial" w:eastAsia="Arial" w:hAnsi="Arial"/>
          <w:sz w:val="18"/>
          <w:szCs w:val="18"/>
          <w:color w:val="auto"/>
        </w:rPr>
        <w:t>Licensing consists of product, international and home licensing alliances, each of which pay us royalties based upon sales of our product, and are generally subject to minimum royalty payments. We work closely with our licensing partners to ensure that products are developed, marketed and distributed in a manner consistent with the distinctive perspective and lifestyle associated with our brand.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Previously Issued Financial Statements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have restated our prior years’ financial statements for the following items.</w:t>
      </w:r>
    </w:p>
    <w:p>
      <w:pPr>
        <w:spacing w:after="0" w:line="117" w:lineRule="exact"/>
        <w:rPr>
          <w:sz w:val="20"/>
          <w:szCs w:val="20"/>
          <w:color w:val="auto"/>
        </w:rPr>
      </w:pPr>
    </w:p>
    <w:p>
      <w:pPr>
        <w:ind w:right="120" w:firstLine="260"/>
        <w:spacing w:after="0" w:line="276" w:lineRule="auto"/>
        <w:rPr>
          <w:sz w:val="20"/>
          <w:szCs w:val="20"/>
          <w:color w:val="auto"/>
        </w:rPr>
      </w:pPr>
      <w:r>
        <w:rPr>
          <w:rFonts w:ascii="Arial" w:cs="Arial" w:eastAsia="Arial" w:hAnsi="Arial"/>
          <w:sz w:val="17"/>
          <w:szCs w:val="17"/>
          <w:color w:val="auto"/>
        </w:rPr>
        <w:t>As a result of the clarifications contained in the February 7, 2005 letter from the Office of the Chief Accountant of the Securities and Exchange Commission (“SEC”) to the Center for Public Company Audit Firms of the American Institute of Certified Public Accountants regarding certain specific lease accounting issues, we initiated a review of the Company’s lease accounting practices. Management and the Audit Committee of the Company’s Board of Directors determined that our accounting practices were incorrect with respect to rent holiday periods and the classification of landlord incentives and the related amortization. We have made all appropriate adjustments to correct these errors for all periods presented.</w:t>
      </w:r>
    </w:p>
    <w:p>
      <w:pPr>
        <w:spacing w:after="0" w:line="64" w:lineRule="exact"/>
        <w:rPr>
          <w:sz w:val="20"/>
          <w:szCs w:val="20"/>
          <w:color w:val="auto"/>
        </w:rPr>
      </w:pPr>
    </w:p>
    <w:p>
      <w:pPr>
        <w:ind w:firstLine="270"/>
        <w:spacing w:after="0" w:line="257" w:lineRule="auto"/>
        <w:rPr>
          <w:sz w:val="20"/>
          <w:szCs w:val="20"/>
          <w:color w:val="auto"/>
        </w:rPr>
      </w:pPr>
      <w:r>
        <w:rPr>
          <w:rFonts w:ascii="Arial" w:cs="Arial" w:eastAsia="Arial" w:hAnsi="Arial"/>
          <w:sz w:val="18"/>
          <w:szCs w:val="18"/>
          <w:color w:val="auto"/>
        </w:rPr>
        <w:t>In periods prior to the fourth quarter of fiscal 2005, we had recorded straight-line rent expense for store operating leases over the related store’s lease term beginning with the commencement date of store operations. Rent expense was not recognized during any build-out period. To correct this practice, we have adopted a policy in which rent expense is recognized on a straight-line over the stores’ lease term commencing with the start of the build-out period (the effective lease-commencement date). The adoption of this policy resulted in a reduction in operating income of $2.9 million for Fiscal 2004 and a $2.4 million increase in operating income for Fiscal 2003.</w:t>
      </w:r>
    </w:p>
    <w:p>
      <w:pPr>
        <w:spacing w:after="0" w:line="80" w:lineRule="exact"/>
        <w:rPr>
          <w:sz w:val="20"/>
          <w:szCs w:val="20"/>
          <w:color w:val="auto"/>
        </w:rPr>
      </w:pPr>
    </w:p>
    <w:p>
      <w:pPr>
        <w:ind w:right="140" w:firstLine="270"/>
        <w:spacing w:after="0" w:line="272" w:lineRule="auto"/>
        <w:rPr>
          <w:sz w:val="20"/>
          <w:szCs w:val="20"/>
          <w:color w:val="auto"/>
        </w:rPr>
      </w:pPr>
      <w:r>
        <w:rPr>
          <w:rFonts w:ascii="Arial" w:cs="Arial" w:eastAsia="Arial" w:hAnsi="Arial"/>
          <w:sz w:val="17"/>
          <w:szCs w:val="17"/>
          <w:color w:val="auto"/>
        </w:rPr>
        <w:t>Prior to the fourth quarter of fiscal 2005, we had classified tenant allowances (amounts received from a landlord to fund leasehold improvement) as a reduction of property and equipment rather than as a deferred lease incentive liability. The amortization of these landlord incentives was originally recorded as a reduction in depreciation expense rather than as a reduction of rent expense. In addition, our statements of cash flow had originally reflected these incentives as a reduction of capital expenditures within cash flows from investing activities rather than as cash flows from operating activities. Correcting these items resulted in an increase to each of net property and equipment and deferred lease incentive liabilities of $11.4 million and $20.6 million, respectively, at April 3, 2004. Additionally, for each of the fiscal years in the two-year period ended April 3, 2004, the reclassification of the amortization of deferred lease incentives resulted in a decrease to rent expense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and a corresponding increase to depreciation expense of $2.1 million and $0.9 million, respectively. A $5.5 million decrease was recorded to retained earnings as of March 30, 2002 as a result of this restatement.</w:t>
      </w:r>
    </w:p>
    <w:p>
      <w:pPr>
        <w:spacing w:after="0" w:line="62" w:lineRule="exact"/>
        <w:rPr>
          <w:sz w:val="20"/>
          <w:szCs w:val="20"/>
          <w:color w:val="auto"/>
        </w:rPr>
      </w:pPr>
    </w:p>
    <w:p>
      <w:pPr>
        <w:ind w:right="320" w:firstLine="270"/>
        <w:spacing w:after="0" w:line="264" w:lineRule="auto"/>
        <w:rPr>
          <w:sz w:val="20"/>
          <w:szCs w:val="20"/>
          <w:color w:val="auto"/>
        </w:rPr>
      </w:pPr>
      <w:r>
        <w:rPr>
          <w:rFonts w:ascii="Arial" w:cs="Arial" w:eastAsia="Arial" w:hAnsi="Arial"/>
          <w:sz w:val="18"/>
          <w:szCs w:val="18"/>
          <w:color w:val="auto"/>
        </w:rPr>
        <w:t>In January 2000, we formed Ralph Lauren Media, LLC as a joint venture with the National Broadcasting Company. Under this 30-year joint venture agreement, Ralph Lauren Media is owned 50% by the Company and 37.5% by NBC and 12.5% by ValueVision Media. We had used the equity method of accounting for our investment in the joint venture since its inception.</w:t>
      </w:r>
    </w:p>
    <w:p>
      <w:pPr>
        <w:spacing w:after="0" w:line="73" w:lineRule="exact"/>
        <w:rPr>
          <w:sz w:val="20"/>
          <w:szCs w:val="20"/>
          <w:color w:val="auto"/>
        </w:rPr>
      </w:pPr>
    </w:p>
    <w:p>
      <w:pPr>
        <w:ind w:right="80" w:firstLine="270"/>
        <w:spacing w:after="0" w:line="289" w:lineRule="auto"/>
        <w:rPr>
          <w:sz w:val="20"/>
          <w:szCs w:val="20"/>
          <w:color w:val="auto"/>
        </w:rPr>
      </w:pPr>
      <w:r>
        <w:rPr>
          <w:rFonts w:ascii="Arial" w:cs="Arial" w:eastAsia="Arial" w:hAnsi="Arial"/>
          <w:sz w:val="16"/>
          <w:szCs w:val="16"/>
          <w:color w:val="auto"/>
        </w:rPr>
        <w:t>On December 24, 2003, the Financial Accounting Standard Board (“FASB”) issued FIN 46R, which is applicable for financial statements issued for reporting periods ending after March 15, 2004. The Company considered the provisions of FIN 46R in its fiscal 2004 financial statements and made the determination that Ralph Lauren Media was a variable interest entity (“VIE”) under FIN 46R. At that time the Company also determined that it was not the primary beneficiary under FIN 46R and, therefore, was not required to consolidate the results of Ralph Lauren Media. Upon subsequent review the Company has now concluded that its determination in 2004 was incorrect and that consolidation of Ralph Lauren Media into the Company’s financial statements was required as of April 3, 2004. The impact on the Company’s balance sheet as of April 3, 2004 is to increase assets by approximately $18 million and liabilities by approximately $9 million and minority interest by approximately $9 million. Previously, the Company accounted for this joint venture using the equity method of accounting, under which we recognized our share of Ralph Lauren Media’s operating results based on our share of ownership and the terms of the joint venture agreement. As a result, there is no impact from the consolidation on prior year’s reported earnings.</w:t>
      </w:r>
    </w:p>
    <w:p>
      <w:pPr>
        <w:spacing w:after="0" w:line="59" w:lineRule="exact"/>
        <w:rPr>
          <w:sz w:val="20"/>
          <w:szCs w:val="20"/>
          <w:color w:val="auto"/>
        </w:rPr>
      </w:pPr>
    </w:p>
    <w:p>
      <w:pPr>
        <w:ind w:firstLine="267"/>
        <w:spacing w:after="0" w:line="277" w:lineRule="auto"/>
        <w:rPr>
          <w:sz w:val="20"/>
          <w:szCs w:val="20"/>
          <w:color w:val="auto"/>
        </w:rPr>
      </w:pPr>
      <w:r>
        <w:rPr>
          <w:rFonts w:ascii="Arial" w:cs="Arial" w:eastAsia="Arial" w:hAnsi="Arial"/>
          <w:sz w:val="18"/>
          <w:szCs w:val="18"/>
          <w:color w:val="auto"/>
        </w:rPr>
        <w:t>We also corrected the classification of the net loss recorded on the disposal of property and equipment from the investing activities section to the operating activities section within the Statement of Cash Flows for Fiscal 2004 and Fiscal 2003.</w:t>
      </w:r>
    </w:p>
    <w:p>
      <w:pPr>
        <w:spacing w:after="0" w:line="62" w:lineRule="exact"/>
        <w:rPr>
          <w:sz w:val="20"/>
          <w:szCs w:val="20"/>
          <w:color w:val="auto"/>
        </w:rPr>
      </w:pPr>
    </w:p>
    <w:p>
      <w:pPr>
        <w:ind w:right="220" w:firstLine="270"/>
        <w:spacing w:after="0" w:line="264" w:lineRule="auto"/>
        <w:rPr>
          <w:sz w:val="20"/>
          <w:szCs w:val="20"/>
          <w:color w:val="auto"/>
        </w:rPr>
      </w:pPr>
      <w:r>
        <w:rPr>
          <w:rFonts w:ascii="Arial" w:cs="Arial" w:eastAsia="Arial" w:hAnsi="Arial"/>
          <w:sz w:val="18"/>
          <w:szCs w:val="18"/>
          <w:color w:val="auto"/>
        </w:rPr>
        <w:t>Further, upon review of the Fiscal 2004 Statement of Cash Flows, we concluded that certain foreign exchange results previously classified as “Effect of exchange rate changes on cash and cash equivalents and net investment in foreign subsidiaries” should be classified as operating activities and have made these corrections as part of the restatement.</w:t>
      </w:r>
    </w:p>
    <w:p>
      <w:pPr>
        <w:spacing w:after="0" w:line="73" w:lineRule="exact"/>
        <w:rPr>
          <w:sz w:val="20"/>
          <w:szCs w:val="20"/>
          <w:color w:val="auto"/>
        </w:rPr>
      </w:pPr>
    </w:p>
    <w:p>
      <w:pPr>
        <w:ind w:right="360" w:firstLine="270"/>
        <w:spacing w:after="0" w:line="264" w:lineRule="auto"/>
        <w:rPr>
          <w:sz w:val="20"/>
          <w:szCs w:val="20"/>
          <w:color w:val="auto"/>
        </w:rPr>
      </w:pPr>
      <w:r>
        <w:rPr>
          <w:rFonts w:ascii="Arial" w:cs="Arial" w:eastAsia="Arial" w:hAnsi="Arial"/>
          <w:sz w:val="18"/>
          <w:szCs w:val="18"/>
          <w:color w:val="auto"/>
        </w:rPr>
        <w:t>See Notes 2 and 22 to our consolidated financial statements included in this Form 10-K for a summary of the effects of the restatements of previously issued financial statements to reflect the above items. The accompanying Management’s Discussion and Analysis of Financial Condition and Results of Operations gives effect to these restatements.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2005 Overall Results</w:t>
      </w:r>
    </w:p>
    <w:p>
      <w:pPr>
        <w:spacing w:after="0" w:line="121" w:lineRule="exact"/>
        <w:rPr>
          <w:sz w:val="20"/>
          <w:szCs w:val="20"/>
          <w:color w:val="auto"/>
        </w:rPr>
      </w:pPr>
    </w:p>
    <w:p>
      <w:pPr>
        <w:ind w:right="300" w:firstLine="270"/>
        <w:spacing w:after="0" w:line="259" w:lineRule="auto"/>
        <w:rPr>
          <w:sz w:val="20"/>
          <w:szCs w:val="20"/>
          <w:color w:val="auto"/>
        </w:rPr>
      </w:pPr>
      <w:r>
        <w:rPr>
          <w:rFonts w:ascii="Arial" w:cs="Arial" w:eastAsia="Arial" w:hAnsi="Arial"/>
          <w:sz w:val="18"/>
          <w:szCs w:val="18"/>
          <w:color w:val="auto"/>
        </w:rPr>
        <w:t>During Fiscal 2005, overall revenue increased $655.8 million, or 24.7%, primarily as a result of the acquisition of the Childrenswear business, the presence of the Lauren line in our wholesale segment for a full year and strong growth in our retail segment, partially offset by sales declines in our Men’s wholesale business due to a planned reduction in off price sales. Our licensing revenue decreased $24.1 million, or 9.0%, as a result of loss of licensing income from the Lauren and Childrenswear labels.</w:t>
      </w:r>
    </w:p>
    <w:p>
      <w:pPr>
        <w:spacing w:after="0" w:line="79" w:lineRule="exact"/>
        <w:rPr>
          <w:sz w:val="20"/>
          <w:szCs w:val="20"/>
          <w:color w:val="auto"/>
        </w:rPr>
      </w:pPr>
    </w:p>
    <w:p>
      <w:pPr>
        <w:jc w:val="both"/>
        <w:ind w:right="340" w:firstLine="270"/>
        <w:spacing w:after="0" w:line="286" w:lineRule="auto"/>
        <w:rPr>
          <w:sz w:val="20"/>
          <w:szCs w:val="20"/>
          <w:color w:val="auto"/>
        </w:rPr>
      </w:pPr>
      <w:r>
        <w:rPr>
          <w:rFonts w:ascii="Arial" w:cs="Arial" w:eastAsia="Arial" w:hAnsi="Arial"/>
          <w:sz w:val="17"/>
          <w:szCs w:val="17"/>
          <w:color w:val="auto"/>
        </w:rPr>
        <w:t>Gross profit increased $361.2 million, or 27.3%, and our gross margin as a percentage of sales (gross margin rate) increased to 51.0% from 49.9% in Fiscal 2004. The increasing gross margin rate reflects the benefits of advertising, improved product mix and a continued focus on inventory management, partially offset by decreases in licensing income as a result of the acquisition of the Lauren and Childrenswear lines.</w:t>
      </w:r>
    </w:p>
    <w:p>
      <w:pPr>
        <w:spacing w:after="0" w:line="57" w:lineRule="exact"/>
        <w:rPr>
          <w:sz w:val="20"/>
          <w:szCs w:val="20"/>
          <w:color w:val="auto"/>
        </w:rPr>
      </w:pPr>
    </w:p>
    <w:p>
      <w:pPr>
        <w:ind w:right="160" w:firstLine="270"/>
        <w:spacing w:after="0" w:line="264" w:lineRule="auto"/>
        <w:rPr>
          <w:sz w:val="20"/>
          <w:szCs w:val="20"/>
          <w:color w:val="auto"/>
        </w:rPr>
      </w:pPr>
      <w:r>
        <w:rPr>
          <w:rFonts w:ascii="Arial" w:cs="Arial" w:eastAsia="Arial" w:hAnsi="Arial"/>
          <w:sz w:val="18"/>
          <w:szCs w:val="18"/>
          <w:color w:val="auto"/>
        </w:rPr>
        <w:t>Operating expenses increased $349.7 million or 33.9%, primarily as a result of litigation charges recorded in the amount of $106.2 million and the addition of expenses associated with the Childrenswear business, a full year’s expenses for the Lauren business and increased operating expenses associated with our growth in retail sales.</w:t>
      </w:r>
    </w:p>
    <w:p>
      <w:pPr>
        <w:spacing w:after="0" w:line="73" w:lineRule="exact"/>
        <w:rPr>
          <w:sz w:val="20"/>
          <w:szCs w:val="20"/>
          <w:color w:val="auto"/>
        </w:rPr>
      </w:pPr>
    </w:p>
    <w:p>
      <w:pPr>
        <w:ind w:right="600" w:firstLine="270"/>
        <w:spacing w:after="0" w:line="277" w:lineRule="auto"/>
        <w:rPr>
          <w:sz w:val="20"/>
          <w:szCs w:val="20"/>
          <w:color w:val="auto"/>
        </w:rPr>
      </w:pPr>
      <w:r>
        <w:rPr>
          <w:rFonts w:ascii="Arial" w:cs="Arial" w:eastAsia="Arial" w:hAnsi="Arial"/>
          <w:sz w:val="18"/>
          <w:szCs w:val="18"/>
          <w:color w:val="auto"/>
        </w:rPr>
        <w:t>During Fiscal 2005, we recorded restructuring charges of $2.3 million. These charges are primarily composed of additional severance costs for the consolidation of our European business.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270"/>
        <w:spacing w:after="0" w:line="277" w:lineRule="auto"/>
        <w:rPr>
          <w:sz w:val="20"/>
          <w:szCs w:val="20"/>
          <w:color w:val="auto"/>
        </w:rPr>
      </w:pPr>
      <w:r>
        <w:rPr>
          <w:rFonts w:ascii="Arial" w:cs="Arial" w:eastAsia="Arial" w:hAnsi="Arial"/>
          <w:sz w:val="18"/>
          <w:szCs w:val="18"/>
          <w:color w:val="auto"/>
        </w:rPr>
        <w:t>Our international operating results were affected by foreign exchange rate fluctuations. However, the increase in net sales due to the strengthening Euro and Canadian dollar was generally offset by a comparable increase in cost of sales and operating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121" w:lineRule="exact"/>
        <w:rPr>
          <w:sz w:val="20"/>
          <w:szCs w:val="20"/>
          <w:color w:val="auto"/>
        </w:rPr>
      </w:pPr>
    </w:p>
    <w:p>
      <w:pPr>
        <w:jc w:val="both"/>
        <w:ind w:right="140" w:firstLine="270"/>
        <w:spacing w:after="0" w:line="279" w:lineRule="auto"/>
        <w:rPr>
          <w:sz w:val="20"/>
          <w:szCs w:val="20"/>
          <w:color w:val="auto"/>
        </w:rPr>
      </w:pPr>
      <w:r>
        <w:rPr>
          <w:rFonts w:ascii="Arial" w:cs="Arial" w:eastAsia="Arial" w:hAnsi="Arial"/>
          <w:sz w:val="17"/>
          <w:szCs w:val="17"/>
          <w:color w:val="auto"/>
        </w:rPr>
        <w:t>Our financial position remains strong. Our cash and cash equivalents decreased to $350.5 million and our cash and cash equivalents net of debt position decreased $15.5 million, primarily as a result of the purchase of the Childrenswear business and an increase in our debt due to the strengthening of the Euro. Cash flow from operations increased by $168.4 million primarily as a result of increased sales and gross profits. We intend to pay the approximately $110 million purchase price for the pending purchase of our footwear licensee out of our cash and cash equivalents.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described in Item 1 — BUSINESS — “Recent Developments” and Item 3 — “LEGAL PROCEEDINGS,” we have recorded a reserve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$100.0 million in connection with our litigation with Jones Apparel Group, Inc. over the termination of the Lauren product line license previously held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Jones. On March 24, 2005, the Appellate Division of the New York Supreme Court affirmed the lower Court’s orders in favor of Jones. We filed a motion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Appellate Division for reargument and/or permission to appeal its decision to the New York Court of Appeals, and on June 23, 2005, the Appellate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Division denied our request for reargument but granted our motion for leave to appeal to the Court of Appeals. If the Court of Appeals does not reverse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Appellate Division’s decision, the case will go back to the lower court for a trial on damages. Although we intend to continue to defend the case vigorously,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light of the Appellate Division’s decision we recorded a charge of $100.0 million during Fiscal 2005 to establish a reserve for this litigation. This charge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represents management’s best estimate at this time of the loss incurred. No discovery has been held, and the ultimate outcome of this matter could differ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materially from the reserved amount. Jones is seeking compensatory damages of $550.0 million plus punitive damages relating to our alleged tortuous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interference in the non-compete and confidentiality provisions of Jackwyn Nemerov’s former employment agreement with Jones. If Jones were to be awarded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full amount of damages it seeks, the award would have a material adverse effect on our results of operations and financial position.</w:t>
      </w:r>
    </w:p>
    <w:p>
      <w:pPr>
        <w:spacing w:after="0" w:line="103" w:lineRule="exact"/>
        <w:rPr>
          <w:sz w:val="20"/>
          <w:szCs w:val="20"/>
          <w:color w:val="auto"/>
        </w:rPr>
      </w:pPr>
    </w:p>
    <w:p>
      <w:pPr>
        <w:ind w:right="520" w:firstLine="267"/>
        <w:spacing w:after="0" w:line="291" w:lineRule="auto"/>
        <w:rPr>
          <w:sz w:val="20"/>
          <w:szCs w:val="20"/>
          <w:color w:val="auto"/>
        </w:rPr>
      </w:pPr>
      <w:r>
        <w:rPr>
          <w:rFonts w:ascii="Arial" w:cs="Arial" w:eastAsia="Arial" w:hAnsi="Arial"/>
          <w:sz w:val="16"/>
          <w:szCs w:val="16"/>
          <w:color w:val="auto"/>
        </w:rPr>
        <w:t>The royalties that we received pursuant to the “Lauren” license agreements and “Ralph” license agreements represented revenues of approximately $23.0 million and $3.9 million, respectively, in Fiscal 2004 prior to the termination of these licenses on December 31, 2003 and $37.4 million and</w:t>
      </w:r>
    </w:p>
    <w:p>
      <w:pPr>
        <w:ind w:right="140"/>
        <w:spacing w:after="0" w:line="255" w:lineRule="auto"/>
        <w:rPr>
          <w:sz w:val="20"/>
          <w:szCs w:val="20"/>
          <w:color w:val="auto"/>
        </w:rPr>
      </w:pPr>
      <w:r>
        <w:rPr>
          <w:rFonts w:ascii="Arial" w:cs="Arial" w:eastAsia="Arial" w:hAnsi="Arial"/>
          <w:sz w:val="18"/>
          <w:szCs w:val="18"/>
          <w:color w:val="auto"/>
        </w:rPr>
        <w:t>$5.3 million respectively during Fiscal 2003. In total, royalties received from Jones (consisting solely of royalties from the “Polo Jeans” license agreements, since the termination of the Lauren and Ralph licenses), accounted for 7.2%, 17.2% and 27.2% of our aggregate licensing revenue for Fiscal 2005, Fiscal 2004 and Fiscal 2003, respectively.</w:t>
      </w:r>
    </w:p>
    <w:p>
      <w:pPr>
        <w:spacing w:after="0" w:line="82" w:lineRule="exact"/>
        <w:rPr>
          <w:sz w:val="20"/>
          <w:szCs w:val="20"/>
          <w:color w:val="auto"/>
        </w:rPr>
      </w:pPr>
    </w:p>
    <w:p>
      <w:pPr>
        <w:ind w:right="40" w:firstLine="260"/>
        <w:spacing w:after="0" w:line="272" w:lineRule="auto"/>
        <w:rPr>
          <w:sz w:val="20"/>
          <w:szCs w:val="20"/>
          <w:color w:val="auto"/>
        </w:rPr>
      </w:pPr>
      <w:r>
        <w:rPr>
          <w:rFonts w:ascii="Arial" w:cs="Arial" w:eastAsia="Arial" w:hAnsi="Arial"/>
          <w:sz w:val="17"/>
          <w:szCs w:val="17"/>
          <w:color w:val="auto"/>
        </w:rPr>
        <w:t>As described in more detail in Note 21 to our consolidated financial statements included in this Form 10-K, we are subject to various claims relating to an alleged security breach of our retail point of sale system, including fraudulent credit card charges, the cost of replacing cards and related monitoring expenses and other related claims. We are unable to predict the extent to which further claims will be asserted. We have contested and will continue to vigorously contest the claims made against it and continues to explore its defenses and possible claims against others. We have established a reserve of $6.2 million on its balance sheet relating to this matter, representing management’s best estimate at this time of the loss incurred. The ultimate outcome of this matter could differ from the amounts recorded. While that difference could be material to the results of operations for any affected reporting period, it is not expected to have a material impact on consolidated financial position or liquidity.</w:t>
      </w:r>
    </w:p>
    <w:p>
      <w:pPr>
        <w:spacing w:after="0" w:line="70" w:lineRule="exact"/>
        <w:rPr>
          <w:sz w:val="20"/>
          <w:szCs w:val="20"/>
          <w:color w:val="auto"/>
        </w:rPr>
      </w:pPr>
    </w:p>
    <w:p>
      <w:pPr>
        <w:ind w:right="80" w:firstLine="270"/>
        <w:spacing w:after="0" w:line="264" w:lineRule="auto"/>
        <w:rPr>
          <w:sz w:val="20"/>
          <w:szCs w:val="20"/>
          <w:color w:val="auto"/>
        </w:rPr>
      </w:pPr>
      <w:r>
        <w:rPr>
          <w:rFonts w:ascii="Arial" w:cs="Arial" w:eastAsia="Arial" w:hAnsi="Arial"/>
          <w:sz w:val="18"/>
          <w:szCs w:val="18"/>
          <w:color w:val="auto"/>
        </w:rPr>
        <w:t>In June 2003, one of our licensing partners, WestPoint Stevens, Inc., and certain of its affiliates (“WestPoint”) filed a voluntary petition for bankruptcy protection under Chapter 11 of the United States Bankruptcy Code. WestPoint produces bedding and bath product in our Home Collection. On December 19, 2003, the United States Bankruptcy Court approved an amended licensing agreement between WestPoint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us, which provides for the same royalty rate and minimum royalties that are not materially lower than under the previous agreement. On June 24, 2005, American Real Estate Properties, LP, an entity controlled by investor Carl Icahn, won the U.S. Bankruptcy Court approved bidding process for WestPoint’s assets, subject to final confirmation at a hearing to be held August 17, 2005. The Company believes that the new owners will continue the relationship on satisfactory terms. The contract with WestPoint Stevens expires in December of 2005.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w:t>
      </w:r>
    </w:p>
    <w:p>
      <w:pPr>
        <w:spacing w:after="0" w:line="121" w:lineRule="exact"/>
        <w:rPr>
          <w:sz w:val="20"/>
          <w:szCs w:val="20"/>
          <w:color w:val="auto"/>
        </w:rPr>
      </w:pPr>
    </w:p>
    <w:p>
      <w:pPr>
        <w:ind w:right="140" w:firstLine="270"/>
        <w:spacing w:after="0" w:line="290" w:lineRule="auto"/>
        <w:rPr>
          <w:sz w:val="20"/>
          <w:szCs w:val="20"/>
          <w:color w:val="auto"/>
        </w:rPr>
      </w:pPr>
      <w:r>
        <w:rPr>
          <w:rFonts w:ascii="Arial" w:cs="Arial" w:eastAsia="Arial" w:hAnsi="Arial"/>
          <w:sz w:val="16"/>
          <w:szCs w:val="16"/>
          <w:color w:val="auto"/>
        </w:rPr>
        <w:t>On May 23, 2005, the Company entered into a definitive agreement with Reebok International, Ltd to acquire all the issued and outstanding shares of capital stock of Ralph Lauren Footwear Co., Inc, the global licensee for men’s, women’s and children’s footwear, as well as certain foreign assets owned by affiliates of Reebok International Ltd (collectively, the “Footwear Business”). The purchase price for the acquisition of the Footwear Business will be approximately $110 million in cash payable at closing, subject to certain closing adjustments. Payment of the purchase price will be funded by cash on hand and lines of credit as required. In addition, the Footwear Licensee and certain of its affiliates have entered into a transition services agreement with us to provide a variety of operational, financial and information systems services over a period of twelve to eighteen months. The closing of the proposed transaction is subject to customary conditions, including the receipt of certain third party consents and the expiration or termination of the waiting period under the Hart-Scott-Rodino Antitrust Improvements Act of 1976. The closing of the transaction is anticipated to occur in July 2005.</w:t>
      </w:r>
    </w:p>
    <w:p>
      <w:pPr>
        <w:spacing w:after="0" w:line="58" w:lineRule="exact"/>
        <w:rPr>
          <w:sz w:val="20"/>
          <w:szCs w:val="20"/>
          <w:color w:val="auto"/>
        </w:rPr>
      </w:pPr>
    </w:p>
    <w:p>
      <w:pPr>
        <w:ind w:firstLine="270"/>
        <w:spacing w:after="0" w:line="253" w:lineRule="auto"/>
        <w:rPr>
          <w:sz w:val="20"/>
          <w:szCs w:val="20"/>
          <w:color w:val="auto"/>
        </w:rPr>
      </w:pPr>
      <w:r>
        <w:rPr>
          <w:rFonts w:ascii="Arial" w:cs="Arial" w:eastAsia="Arial" w:hAnsi="Arial"/>
          <w:sz w:val="18"/>
          <w:szCs w:val="18"/>
          <w:color w:val="auto"/>
        </w:rPr>
        <w:t>On July 2, 2004, we completed the acquisition of certain assets of RL Childrenswear Company, LLC for a purchase price of approximately $263.5 million including transaction costs. The purchase price includes deferred payments of $15 million over the next three years, and we have agreed to assume certain liabilities. Additionally, we agreed to pay up to an additional $5 million in contingent payments if certain sales targets are attained. During the third quarter, we recorded a $5 million liability for this contingent purchase payment because we believe it is probable the sales targets will be achieved. This amount was recorded as an increase in goodwill. RL Childrenswear Company, LLC was our licensee holding the exclusive licenses to design, manufacture, merchandise and sell newborn, infant, toddler and girls and boys clothing in the United States, Canada and Mexico. In connection with this acquisition, we recorded fair values for assets and liabilities as follows: inventory of $26.6 million, property and equipment of $7.5 million, intangible assets, consisting of non-compete agreements, valued at $2.5 million and customer relationships, valued at $29.9 million, other assets of $1.0 million, goodwill of $208.3 million and liabilities of $12.3 million.</w:t>
      </w:r>
    </w:p>
    <w:p>
      <w:pPr>
        <w:spacing w:after="0" w:line="89" w:lineRule="exact"/>
        <w:rPr>
          <w:sz w:val="20"/>
          <w:szCs w:val="20"/>
          <w:color w:val="auto"/>
        </w:rPr>
      </w:pPr>
    </w:p>
    <w:p>
      <w:pPr>
        <w:ind w:right="80" w:firstLine="267"/>
        <w:spacing w:after="0" w:line="277" w:lineRule="auto"/>
        <w:rPr>
          <w:sz w:val="20"/>
          <w:szCs w:val="20"/>
          <w:color w:val="auto"/>
        </w:rPr>
      </w:pPr>
      <w:r>
        <w:rPr>
          <w:rFonts w:ascii="Arial" w:cs="Arial" w:eastAsia="Arial" w:hAnsi="Arial"/>
          <w:sz w:val="18"/>
          <w:szCs w:val="18"/>
          <w:color w:val="auto"/>
        </w:rPr>
        <w:t>The results of operations for the Childrenswear line for the period are included in the consolidated results of operations commencing July 2, 2004, for the year ended April 2, 2005.</w:t>
      </w:r>
    </w:p>
    <w:p>
      <w:pPr>
        <w:spacing w:after="0" w:line="62" w:lineRule="exact"/>
        <w:rPr>
          <w:sz w:val="20"/>
          <w:szCs w:val="20"/>
          <w:color w:val="auto"/>
        </w:rPr>
      </w:pPr>
    </w:p>
    <w:p>
      <w:pPr>
        <w:ind w:right="80" w:firstLine="267"/>
        <w:spacing w:after="0" w:line="257" w:lineRule="auto"/>
        <w:rPr>
          <w:sz w:val="20"/>
          <w:szCs w:val="20"/>
          <w:color w:val="auto"/>
        </w:rPr>
      </w:pPr>
      <w:r>
        <w:rPr>
          <w:rFonts w:ascii="Arial" w:cs="Arial" w:eastAsia="Arial" w:hAnsi="Arial"/>
          <w:sz w:val="18"/>
          <w:szCs w:val="18"/>
          <w:color w:val="auto"/>
        </w:rPr>
        <w:t>The following unaudited pro forma information assumes the Childrenswear acquisition had occurred on March 30, 2003. The pro forma information, as presented below, is not indicative of the results that would have been obtained had the transaction occurred March 30, 2003, nor is it indicative of the Company’s future results. The unaudited pro forma information is presented based on the preliminary purchase price allocation. The final purchase price allocation and the resulting effect on net income may differ significantly from the unaudited pro forma amounts included herein (dollars in thousands, except per share amounts).</w:t>
      </w:r>
    </w:p>
    <w:p>
      <w:pPr>
        <w:spacing w:after="0" w:line="80" w:lineRule="exact"/>
        <w:rPr>
          <w:sz w:val="20"/>
          <w:szCs w:val="20"/>
          <w:color w:val="auto"/>
        </w:rPr>
      </w:pPr>
    </w:p>
    <w:p>
      <w:pPr>
        <w:ind w:firstLine="267"/>
        <w:spacing w:after="0" w:line="273" w:lineRule="auto"/>
        <w:rPr>
          <w:sz w:val="20"/>
          <w:szCs w:val="20"/>
          <w:color w:val="auto"/>
        </w:rPr>
      </w:pPr>
      <w:r>
        <w:rPr>
          <w:rFonts w:ascii="Arial" w:cs="Arial" w:eastAsia="Arial" w:hAnsi="Arial"/>
          <w:sz w:val="17"/>
          <w:szCs w:val="17"/>
          <w:color w:val="auto"/>
        </w:rPr>
        <w:t>The following pro forma amounts reflect adjustments for purchases made by us from Childrenswear, licensing royalties paid to us by Childrenswear, amortization of the non-compete agreements, lost interest income on the cash used for the purchase and the income tax effect based upon unaudited pro forma effective tax rate of 35.5% in Fiscal 2005 and Fiscal 2004. The unaudited pro forma information gives effect only to adjustments described above and does not reflect management’s estimate of any anticipated cost savings or other benefits as a result of the acquisition. The unaudited pro forma amounts include material non recurring charges of approximately $7.4 million that are recorded within Cost of goods sold related to the write up to fair value of inventory as part of the preliminary purchase price allocation (dollars in thousands, except per share amounts).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For the Year Ended</w:t>
            </w:r>
          </w:p>
        </w:tc>
        <w:tc>
          <w:tcPr>
            <w:tcW w:w="112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r>
      <w:tr>
        <w:trPr>
          <w:trHeight w:val="133"/>
        </w:trPr>
        <w:tc>
          <w:tcPr>
            <w:tcW w:w="47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gridSpan w:val="2"/>
          </w:tcPr>
          <w:p>
            <w:pPr>
              <w:jc w:val="center"/>
              <w:ind w:right="660"/>
              <w:spacing w:after="0" w:line="133" w:lineRule="exact"/>
              <w:rPr>
                <w:sz w:val="20"/>
                <w:szCs w:val="20"/>
                <w:color w:val="auto"/>
              </w:rPr>
            </w:pPr>
            <w:r>
              <w:rPr>
                <w:rFonts w:ascii="Arial" w:cs="Arial" w:eastAsia="Arial" w:hAnsi="Arial"/>
                <w:sz w:val="14"/>
                <w:szCs w:val="14"/>
                <w:b w:val="1"/>
                <w:bCs w:val="1"/>
                <w:color w:val="auto"/>
                <w:w w:val="96"/>
              </w:rPr>
              <w:t>April 2,</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58"/>
              <w:spacing w:after="0" w:line="133" w:lineRule="exact"/>
              <w:rPr>
                <w:sz w:val="20"/>
                <w:szCs w:val="20"/>
                <w:color w:val="auto"/>
              </w:rPr>
            </w:pPr>
            <w:r>
              <w:rPr>
                <w:rFonts w:ascii="Arial" w:cs="Arial" w:eastAsia="Arial" w:hAnsi="Arial"/>
                <w:sz w:val="14"/>
                <w:szCs w:val="14"/>
                <w:b w:val="1"/>
                <w:bCs w:val="1"/>
                <w:color w:val="auto"/>
              </w:rPr>
              <w:t>April 3,</w:t>
            </w:r>
          </w:p>
        </w:tc>
        <w:tc>
          <w:tcPr>
            <w:tcW w:w="600" w:type="dxa"/>
            <w:vAlign w:val="bottom"/>
          </w:tcPr>
          <w:p>
            <w:pPr>
              <w:spacing w:after="0"/>
              <w:rPr>
                <w:sz w:val="11"/>
                <w:szCs w:val="11"/>
                <w:color w:val="auto"/>
              </w:rPr>
            </w:pPr>
          </w:p>
        </w:tc>
      </w:tr>
      <w:tr>
        <w:trPr>
          <w:trHeight w:val="171"/>
        </w:trPr>
        <w:tc>
          <w:tcPr>
            <w:tcW w:w="4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6"/>
              </w:rPr>
              <w:t>2005</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2004</w:t>
            </w:r>
          </w:p>
        </w:tc>
        <w:tc>
          <w:tcPr>
            <w:tcW w:w="600" w:type="dxa"/>
            <w:vAlign w:val="bottom"/>
          </w:tcPr>
          <w:p>
            <w:pPr>
              <w:spacing w:after="0"/>
              <w:rPr>
                <w:sz w:val="14"/>
                <w:szCs w:val="14"/>
                <w:color w:val="auto"/>
              </w:rPr>
            </w:pPr>
          </w:p>
        </w:tc>
      </w:tr>
      <w:tr>
        <w:trPr>
          <w:trHeight w:val="156"/>
        </w:trPr>
        <w:tc>
          <w:tcPr>
            <w:tcW w:w="47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119"/>
              <w:spacing w:after="0" w:line="155" w:lineRule="exact"/>
              <w:rPr>
                <w:sz w:val="20"/>
                <w:szCs w:val="20"/>
                <w:color w:val="auto"/>
              </w:rPr>
            </w:pPr>
            <w:r>
              <w:rPr>
                <w:rFonts w:ascii="Arial" w:cs="Arial" w:eastAsia="Arial" w:hAnsi="Arial"/>
                <w:sz w:val="14"/>
                <w:szCs w:val="14"/>
                <w:b w:val="1"/>
                <w:bCs w:val="1"/>
                <w:color w:val="auto"/>
                <w:w w:val="95"/>
              </w:rPr>
              <w:t>(Unaudited)</w:t>
            </w: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ind w:right="138"/>
              <w:spacing w:after="0" w:line="155" w:lineRule="exact"/>
              <w:rPr>
                <w:sz w:val="20"/>
                <w:szCs w:val="20"/>
                <w:color w:val="auto"/>
              </w:rPr>
            </w:pPr>
            <w:r>
              <w:rPr>
                <w:rFonts w:ascii="Arial" w:cs="Arial" w:eastAsia="Arial" w:hAnsi="Arial"/>
                <w:sz w:val="14"/>
                <w:szCs w:val="14"/>
                <w:b w:val="1"/>
                <w:bCs w:val="1"/>
                <w:color w:val="auto"/>
                <w:w w:val="95"/>
              </w:rPr>
              <w:t>(Unaudited)</w:t>
            </w:r>
          </w:p>
        </w:tc>
        <w:tc>
          <w:tcPr>
            <w:tcW w:w="600" w:type="dxa"/>
            <w:vAlign w:val="bottom"/>
          </w:tcPr>
          <w:p>
            <w:pPr>
              <w:spacing w:after="0"/>
              <w:rPr>
                <w:sz w:val="13"/>
                <w:szCs w:val="13"/>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3,359,168</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2,858,458</w:t>
            </w:r>
          </w:p>
        </w:tc>
        <w:tc>
          <w:tcPr>
            <w:tcW w:w="6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Net income</w:t>
            </w: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8"/>
                <w:szCs w:val="18"/>
                <w:color w:val="auto"/>
              </w:rPr>
              <w:t>195,338</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186,164</w:t>
            </w:r>
          </w:p>
        </w:tc>
        <w:tc>
          <w:tcPr>
            <w:tcW w:w="6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2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1.92</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1.88</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2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60"/>
              <w:spacing w:after="0"/>
              <w:rPr>
                <w:sz w:val="20"/>
                <w:szCs w:val="20"/>
                <w:color w:val="auto"/>
              </w:rPr>
            </w:pPr>
            <w:r>
              <w:rPr>
                <w:rFonts w:ascii="Arial" w:cs="Arial" w:eastAsia="Arial" w:hAnsi="Arial"/>
                <w:sz w:val="18"/>
                <w:szCs w:val="18"/>
                <w:color w:val="auto"/>
              </w:rPr>
              <w:t>1.88</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1.84</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Restructurings</w:t>
      </w:r>
    </w:p>
    <w:p>
      <w:pPr>
        <w:spacing w:after="0" w:line="121" w:lineRule="exact"/>
        <w:rPr>
          <w:sz w:val="20"/>
          <w:szCs w:val="20"/>
          <w:color w:val="auto"/>
        </w:rPr>
      </w:pPr>
    </w:p>
    <w:p>
      <w:pPr>
        <w:ind w:right="60" w:firstLine="270"/>
        <w:spacing w:after="0" w:line="273" w:lineRule="auto"/>
        <w:rPr>
          <w:sz w:val="20"/>
          <w:szCs w:val="20"/>
          <w:color w:val="auto"/>
        </w:rPr>
      </w:pPr>
      <w:r>
        <w:rPr>
          <w:rFonts w:ascii="Arial" w:cs="Arial" w:eastAsia="Arial" w:hAnsi="Arial"/>
          <w:sz w:val="17"/>
          <w:szCs w:val="17"/>
          <w:color w:val="auto"/>
        </w:rPr>
        <w:t>During Fiscal 2003, we completed a strategic review of our European businesses and formalized our plans to centralize and more efficiently consolidate our business operations. The major initiatives of the plan included the following: consolidation of our headquarters from five cities in three countries to one location, the consolidation of our European logistics operations to Italy and the migration of all European information systems to a standard global system. In connection with the implementation of this plan, the Company recorded a restructuring charge of $2.1 million, $7.9 million and $14.4 million during Fiscal 2005, Fiscal 2004 and Fiscal 2003, respectively. $23.3 million had been paid through April 2, 2005 in connection with this implementation. The remaining balance which consists primarily of lease termination costs will be paid over the life of the lease.</w:t>
      </w:r>
    </w:p>
    <w:p>
      <w:pPr>
        <w:spacing w:after="0" w:line="70" w:lineRule="exact"/>
        <w:rPr>
          <w:sz w:val="20"/>
          <w:szCs w:val="20"/>
          <w:color w:val="auto"/>
        </w:rPr>
      </w:pPr>
    </w:p>
    <w:p>
      <w:pPr>
        <w:jc w:val="both"/>
        <w:ind w:right="180" w:firstLine="270"/>
        <w:spacing w:after="0" w:line="264" w:lineRule="auto"/>
        <w:rPr>
          <w:sz w:val="20"/>
          <w:szCs w:val="20"/>
          <w:color w:val="auto"/>
        </w:rPr>
      </w:pPr>
      <w:r>
        <w:rPr>
          <w:rFonts w:ascii="Arial" w:cs="Arial" w:eastAsia="Arial" w:hAnsi="Arial"/>
          <w:sz w:val="18"/>
          <w:szCs w:val="18"/>
          <w:color w:val="auto"/>
        </w:rPr>
        <w:t>During Fiscal 2001, we implemented the 2001 Operational Plan. Due to real estate market factors that were less favorable than originally estimated, we recorded an additional $10.4 million charge during Fiscal 2004. The remaining balance which consists primarily of lease termination costs will be paid over the life of the 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right="200" w:firstLine="267"/>
        <w:spacing w:after="0" w:line="277" w:lineRule="auto"/>
        <w:rPr>
          <w:sz w:val="20"/>
          <w:szCs w:val="20"/>
          <w:color w:val="auto"/>
        </w:rPr>
      </w:pPr>
      <w:r>
        <w:rPr>
          <w:rFonts w:ascii="Arial" w:cs="Arial" w:eastAsia="Arial" w:hAnsi="Arial"/>
          <w:sz w:val="18"/>
          <w:szCs w:val="18"/>
          <w:color w:val="auto"/>
        </w:rPr>
        <w:t>The table below sets forth results in millions of dollars and the percentage relationship to net revenues of certain items in our consolidated statements of income for our last three fiscal years: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Fiscal Year Ended</w:t>
            </w:r>
          </w:p>
        </w:tc>
        <w:tc>
          <w:tcPr>
            <w:tcW w:w="8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right"/>
              <w:ind w:right="680"/>
              <w:spacing w:after="0" w:line="133" w:lineRule="exact"/>
              <w:rPr>
                <w:sz w:val="20"/>
                <w:szCs w:val="20"/>
                <w:color w:val="auto"/>
              </w:rPr>
            </w:pPr>
            <w:r>
              <w:rPr>
                <w:rFonts w:ascii="Arial" w:cs="Arial" w:eastAsia="Arial" w:hAnsi="Arial"/>
                <w:sz w:val="14"/>
                <w:szCs w:val="14"/>
                <w:b w:val="1"/>
                <w:bCs w:val="1"/>
                <w:color w:val="auto"/>
              </w:rPr>
              <w:t>April 2,</w:t>
            </w:r>
          </w:p>
        </w:tc>
        <w:tc>
          <w:tcPr>
            <w:tcW w:w="140" w:type="dxa"/>
            <w:vAlign w:val="bottom"/>
          </w:tcPr>
          <w:p>
            <w:pPr>
              <w:spacing w:after="0"/>
              <w:rPr>
                <w:sz w:val="11"/>
                <w:szCs w:val="11"/>
                <w:color w:val="auto"/>
              </w:rPr>
            </w:pPr>
          </w:p>
        </w:tc>
        <w:tc>
          <w:tcPr>
            <w:tcW w:w="820" w:type="dxa"/>
            <w:vAlign w:val="bottom"/>
            <w:gridSpan w:val="2"/>
          </w:tcPr>
          <w:p>
            <w:pPr>
              <w:jc w:val="right"/>
              <w:ind w:right="280"/>
              <w:spacing w:after="0" w:line="133" w:lineRule="exact"/>
              <w:rPr>
                <w:sz w:val="20"/>
                <w:szCs w:val="20"/>
                <w:color w:val="auto"/>
              </w:rPr>
            </w:pPr>
            <w:r>
              <w:rPr>
                <w:rFonts w:ascii="Arial" w:cs="Arial" w:eastAsia="Arial" w:hAnsi="Arial"/>
                <w:sz w:val="14"/>
                <w:szCs w:val="14"/>
                <w:b w:val="1"/>
                <w:bCs w:val="1"/>
                <w:color w:val="auto"/>
              </w:rPr>
              <w:t>April 3,</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right"/>
              <w:ind w:right="640"/>
              <w:spacing w:after="0" w:line="133" w:lineRule="exact"/>
              <w:rPr>
                <w:sz w:val="20"/>
                <w:szCs w:val="20"/>
                <w:color w:val="auto"/>
              </w:rPr>
            </w:pPr>
            <w:r>
              <w:rPr>
                <w:rFonts w:ascii="Arial" w:cs="Arial" w:eastAsia="Arial" w:hAnsi="Arial"/>
                <w:sz w:val="14"/>
                <w:szCs w:val="14"/>
                <w:b w:val="1"/>
                <w:bCs w:val="1"/>
                <w:color w:val="auto"/>
                <w:w w:val="95"/>
              </w:rPr>
              <w:t>March 29,</w:t>
            </w:r>
          </w:p>
        </w:tc>
        <w:tc>
          <w:tcPr>
            <w:tcW w:w="1320" w:type="dxa"/>
            <w:vAlign w:val="bottom"/>
            <w:gridSpan w:val="2"/>
          </w:tcPr>
          <w:p>
            <w:pPr>
              <w:jc w:val="right"/>
              <w:ind w:right="700"/>
              <w:spacing w:after="0" w:line="133" w:lineRule="exact"/>
              <w:rPr>
                <w:sz w:val="20"/>
                <w:szCs w:val="20"/>
                <w:color w:val="auto"/>
              </w:rPr>
            </w:pPr>
            <w:r>
              <w:rPr>
                <w:rFonts w:ascii="Arial" w:cs="Arial" w:eastAsia="Arial" w:hAnsi="Arial"/>
                <w:sz w:val="14"/>
                <w:szCs w:val="14"/>
                <w:b w:val="1"/>
                <w:bCs w:val="1"/>
                <w:color w:val="auto"/>
              </w:rPr>
              <w:t>April 2,</w:t>
            </w:r>
          </w:p>
        </w:tc>
        <w:tc>
          <w:tcPr>
            <w:tcW w:w="1420" w:type="dxa"/>
            <w:vAlign w:val="bottom"/>
            <w:gridSpan w:val="2"/>
          </w:tcPr>
          <w:p>
            <w:pPr>
              <w:jc w:val="center"/>
              <w:ind w:right="580"/>
              <w:spacing w:after="0" w:line="133" w:lineRule="exact"/>
              <w:rPr>
                <w:sz w:val="20"/>
                <w:szCs w:val="20"/>
                <w:color w:val="auto"/>
              </w:rPr>
            </w:pPr>
            <w:r>
              <w:rPr>
                <w:rFonts w:ascii="Arial" w:cs="Arial" w:eastAsia="Arial" w:hAnsi="Arial"/>
                <w:sz w:val="14"/>
                <w:szCs w:val="14"/>
                <w:b w:val="1"/>
                <w:bCs w:val="1"/>
                <w:color w:val="auto"/>
              </w:rPr>
              <w:t>April 3,</w:t>
            </w:r>
          </w:p>
        </w:tc>
        <w:tc>
          <w:tcPr>
            <w:tcW w:w="900" w:type="dxa"/>
            <w:vAlign w:val="bottom"/>
          </w:tcPr>
          <w:p>
            <w:pPr>
              <w:jc w:val="right"/>
              <w:ind w:right="52"/>
              <w:spacing w:after="0" w:line="133" w:lineRule="exact"/>
              <w:rPr>
                <w:sz w:val="20"/>
                <w:szCs w:val="20"/>
                <w:color w:val="auto"/>
              </w:rPr>
            </w:pPr>
            <w:r>
              <w:rPr>
                <w:rFonts w:ascii="Arial" w:cs="Arial" w:eastAsia="Arial" w:hAnsi="Arial"/>
                <w:sz w:val="14"/>
                <w:szCs w:val="14"/>
                <w:b w:val="1"/>
                <w:bCs w:val="1"/>
                <w:color w:val="auto"/>
              </w:rPr>
              <w:t>March 29,</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15"/>
                <w:szCs w:val="15"/>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2005</w:t>
            </w:r>
          </w:p>
        </w:tc>
        <w:tc>
          <w:tcPr>
            <w:tcW w:w="560" w:type="dxa"/>
            <w:vAlign w:val="bottom"/>
          </w:tcPr>
          <w:p>
            <w:pPr>
              <w:spacing w:after="0"/>
              <w:rPr>
                <w:sz w:val="15"/>
                <w:szCs w:val="15"/>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15"/>
                <w:szCs w:val="15"/>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3,060.7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2,380.9</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2,189.3</w:t>
            </w: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92.6%</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89.9%</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Licensing revenue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244.7</w:t>
            </w: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268.8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w:t>
            </w:r>
          </w:p>
        </w:tc>
        <w:tc>
          <w:tcPr>
            <w:tcW w:w="52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7.4%</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10.1%</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3,305.4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2,649.7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2,439.3</w:t>
            </w: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w w:val="86"/>
              </w:rPr>
              <w:t>1,684.5</w:t>
            </w:r>
          </w:p>
        </w:tc>
        <w:tc>
          <w:tcPr>
            <w:tcW w:w="5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1,323.3</w:t>
            </w:r>
          </w:p>
        </w:tc>
        <w:tc>
          <w:tcPr>
            <w:tcW w:w="8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1,207.6</w:t>
            </w:r>
          </w:p>
        </w:tc>
        <w:tc>
          <w:tcPr>
            <w:tcW w:w="520" w:type="dxa"/>
            <w:vAlign w:val="bottom"/>
          </w:tcPr>
          <w:p>
            <w:pPr>
              <w:spacing w:after="0"/>
              <w:rPr>
                <w:sz w:val="19"/>
                <w:szCs w:val="19"/>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51.0%</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49.9%</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1,382.5</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1,032.9</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902.4</w:t>
            </w:r>
          </w:p>
        </w:tc>
        <w:tc>
          <w:tcPr>
            <w:tcW w:w="5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41.8%</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39.0%</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Restructuring charge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19.5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14.4</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0.1%</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0.7%</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299.7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10.2%</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Foreign currency (gains) losses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0.5</w:t>
            </w:r>
          </w:p>
        </w:tc>
        <w:tc>
          <w:tcPr>
            <w:tcW w:w="52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13.5</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0.4%</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9"/>
        </w:trPr>
        <w:tc>
          <w:tcPr>
            <w:tcW w:w="3160" w:type="dxa"/>
            <w:vAlign w:val="bottom"/>
            <w:gridSpan w:val="2"/>
          </w:tcPr>
          <w:p>
            <w:pPr>
              <w:spacing w:after="0"/>
              <w:rPr>
                <w:sz w:val="20"/>
                <w:szCs w:val="20"/>
                <w:color w:val="auto"/>
              </w:rPr>
            </w:pPr>
            <w:r>
              <w:rPr>
                <w:rFonts w:ascii="Arial" w:cs="Arial" w:eastAsia="Arial" w:hAnsi="Arial"/>
                <w:sz w:val="18"/>
                <w:szCs w:val="18"/>
                <w:color w:val="auto"/>
                <w:w w:val="95"/>
              </w:rPr>
              <w:t>Income before provision for income taxes</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ind w:left="120"/>
              <w:spacing w:after="0"/>
              <w:rPr>
                <w:sz w:val="20"/>
                <w:szCs w:val="20"/>
                <w:color w:val="auto"/>
              </w:rPr>
            </w:pPr>
            <w:r>
              <w:rPr>
                <w:rFonts w:ascii="Arial" w:cs="Arial" w:eastAsia="Arial" w:hAnsi="Arial"/>
                <w:sz w:val="18"/>
                <w:szCs w:val="18"/>
                <w:color w:val="auto"/>
              </w:rPr>
              <w:t>and Other expense (income)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299.4</w:t>
            </w:r>
          </w:p>
        </w:tc>
        <w:tc>
          <w:tcPr>
            <w:tcW w:w="14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259.0</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276.8</w:t>
            </w:r>
          </w:p>
        </w:tc>
        <w:tc>
          <w:tcPr>
            <w:tcW w:w="520" w:type="dxa"/>
            <w:vAlign w:val="bottom"/>
          </w:tcPr>
          <w:p>
            <w:pPr>
              <w:spacing w:after="0"/>
              <w:rPr>
                <w:sz w:val="20"/>
                <w:szCs w:val="20"/>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9.1%</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9.8%</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107.4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0.0%</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(0.1)%</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190.</w:t>
            </w:r>
            <w:r>
              <w:rPr>
                <w:rFonts w:ascii="Arial" w:cs="Arial" w:eastAsia="Arial" w:hAnsi="Arial"/>
                <w:sz w:val="18"/>
                <w:szCs w:val="18"/>
                <w:u w:val="single" w:color="auto"/>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vMerge w:val="restart"/>
          </w:tcPr>
          <w:p>
            <w:pPr>
              <w:jc w:val="right"/>
              <w:ind w:right="150"/>
              <w:spacing w:after="0"/>
              <w:rPr>
                <w:sz w:val="20"/>
                <w:szCs w:val="20"/>
                <w:color w:val="auto"/>
              </w:rPr>
            </w:pPr>
            <w:r>
              <w:rPr>
                <w:rFonts w:ascii="Arial" w:cs="Arial" w:eastAsia="Arial" w:hAnsi="Arial"/>
                <w:sz w:val="18"/>
                <w:szCs w:val="18"/>
                <w:color w:val="auto"/>
                <w:w w:val="89"/>
              </w:rPr>
              <w:t>36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Fiscal 2005 Compared to Fiscal 2004</w:t>
      </w:r>
    </w:p>
    <w:p>
      <w:pPr>
        <w:spacing w:after="0" w:line="117" w:lineRule="exact"/>
        <w:rPr>
          <w:sz w:val="20"/>
          <w:szCs w:val="20"/>
          <w:color w:val="auto"/>
        </w:rPr>
      </w:pPr>
    </w:p>
    <w:p>
      <w:pPr>
        <w:ind w:right="100" w:firstLine="270"/>
        <w:spacing w:after="0" w:line="255"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for Fiscal 2005 were $3.3 billion, an increase of $655.8 million over net revenues for Fiscal 2004. Wholesale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increased as a result of the sale of Lauren and Childrenswear products. These increases were partially offset by decreased sales elsewhere in our wholesale business primarily driven by planned reductions in off price sales in our men’s, women’s and European business as well as the loss of the Lauren and Ralph royalties from Jones. The increase in net revenues was also caused by increases in our retail segment as a result of our improved comparable retail store sales, continued store expansion and the favorable impact of the strengthening Euro. Net revenues for our business segments are provided below (Dollars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 Ended</w:t>
            </w:r>
          </w:p>
        </w:tc>
        <w:tc>
          <w:tcPr>
            <w:tcW w:w="88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vMerge w:val="restart"/>
          </w:tcPr>
          <w:p>
            <w:pPr>
              <w:jc w:val="right"/>
              <w:ind w:right="920"/>
              <w:spacing w:after="0"/>
              <w:rPr>
                <w:sz w:val="20"/>
                <w:szCs w:val="20"/>
                <w:color w:val="auto"/>
              </w:rPr>
            </w:pPr>
            <w:r>
              <w:rPr>
                <w:rFonts w:ascii="Arial" w:cs="Arial" w:eastAsia="Arial" w:hAnsi="Arial"/>
                <w:sz w:val="14"/>
                <w:szCs w:val="14"/>
                <w:b w:val="1"/>
                <w:bCs w:val="1"/>
                <w:color w:val="auto"/>
              </w:rPr>
              <w:t>Increase</w:t>
            </w: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gridSpan w:val="2"/>
          </w:tcPr>
          <w:p>
            <w:pPr>
              <w:jc w:val="center"/>
              <w:ind w:right="860"/>
              <w:spacing w:after="0" w:line="133" w:lineRule="exact"/>
              <w:rPr>
                <w:sz w:val="20"/>
                <w:szCs w:val="20"/>
                <w:color w:val="auto"/>
              </w:rPr>
            </w:pPr>
            <w:r>
              <w:rPr>
                <w:rFonts w:ascii="Arial" w:cs="Arial" w:eastAsia="Arial" w:hAnsi="Arial"/>
                <w:sz w:val="14"/>
                <w:szCs w:val="14"/>
                <w:b w:val="1"/>
                <w:bCs w:val="1"/>
                <w:color w:val="auto"/>
              </w:rPr>
              <w:t>April 2,</w:t>
            </w:r>
          </w:p>
        </w:tc>
        <w:tc>
          <w:tcPr>
            <w:tcW w:w="300" w:type="dxa"/>
            <w:vAlign w:val="bottom"/>
          </w:tcPr>
          <w:p>
            <w:pPr>
              <w:spacing w:after="0"/>
              <w:rPr>
                <w:sz w:val="11"/>
                <w:szCs w:val="11"/>
                <w:color w:val="auto"/>
              </w:rPr>
            </w:pPr>
          </w:p>
        </w:tc>
        <w:tc>
          <w:tcPr>
            <w:tcW w:w="880" w:type="dxa"/>
            <w:vAlign w:val="bottom"/>
          </w:tcPr>
          <w:p>
            <w:pPr>
              <w:jc w:val="right"/>
              <w:ind w:right="276"/>
              <w:spacing w:after="0" w:line="133" w:lineRule="exact"/>
              <w:rPr>
                <w:sz w:val="20"/>
                <w:szCs w:val="20"/>
                <w:color w:val="auto"/>
              </w:rPr>
            </w:pPr>
            <w:r>
              <w:rPr>
                <w:rFonts w:ascii="Arial" w:cs="Arial" w:eastAsia="Arial" w:hAnsi="Arial"/>
                <w:sz w:val="14"/>
                <w:szCs w:val="14"/>
                <w:b w:val="1"/>
                <w:bCs w:val="1"/>
                <w:color w:val="auto"/>
              </w:rPr>
              <w:t>April 3,</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2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358"/>
              <w:spacing w:after="0"/>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356"/>
              <w:spacing w:after="0"/>
              <w:rPr>
                <w:sz w:val="20"/>
                <w:szCs w:val="20"/>
                <w:color w:val="auto"/>
              </w:rPr>
            </w:pPr>
            <w:r>
              <w:rPr>
                <w:rFonts w:ascii="Arial" w:cs="Arial" w:eastAsia="Arial" w:hAnsi="Arial"/>
                <w:sz w:val="14"/>
                <w:szCs w:val="14"/>
                <w:b w:val="1"/>
                <w:bCs w:val="1"/>
                <w:color w:val="auto"/>
              </w:rPr>
              <w:t>2004</w:t>
            </w: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4"/>
              </w:rPr>
              <w:t>(Decrease)</w:t>
            </w: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Wholesale</w:t>
            </w:r>
          </w:p>
        </w:tc>
        <w:tc>
          <w:tcPr>
            <w:tcW w:w="18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1,712,040</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1,210,397</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501,643</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1,348,645</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1,170,447</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178,198</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Licensing</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244,730</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268,810</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(24,080)</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3,305,415</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2,649,654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655,761</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 xml:space="preserve">Wholesale net sales </w:t>
      </w:r>
      <w:r>
        <w:rPr>
          <w:rFonts w:ascii="Arial" w:cs="Arial" w:eastAsia="Arial" w:hAnsi="Arial"/>
          <w:sz w:val="18"/>
          <w:szCs w:val="18"/>
          <w:color w:val="auto"/>
        </w:rPr>
        <w:t>— the increase primarily reflects:</w:t>
      </w:r>
    </w:p>
    <w:p>
      <w:pPr>
        <w:spacing w:after="0" w:line="117" w:lineRule="exact"/>
        <w:rPr>
          <w:sz w:val="20"/>
          <w:szCs w:val="20"/>
          <w:color w:val="auto"/>
        </w:rPr>
      </w:pPr>
    </w:p>
    <w:p>
      <w:pPr>
        <w:ind w:left="460" w:right="440" w:hanging="101"/>
        <w:spacing w:after="0" w:line="277"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incremental increase from the Lauren line of approximately $280.5 million in the current year due to the inclusion of a full year’s sales versus one quarter’s sales in the prior year;</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inclusion of sales from the newly acquired Childrenswear line of $180.2 million commencing July 2, 2004;</w:t>
      </w:r>
    </w:p>
    <w:p>
      <w:pPr>
        <w:spacing w:after="0" w:line="130" w:lineRule="exact"/>
        <w:rPr>
          <w:rFonts w:ascii="Arial" w:cs="Arial" w:eastAsia="Arial" w:hAnsi="Arial"/>
          <w:sz w:val="18"/>
          <w:szCs w:val="18"/>
          <w:color w:val="auto"/>
        </w:rPr>
      </w:pPr>
    </w:p>
    <w:p>
      <w:pPr>
        <w:ind w:left="460" w:right="60" w:hanging="101"/>
        <w:spacing w:after="0" w:line="277"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$51.2 million decrease in the domestic men’s wholesale business, which resulted from a planned reduction in off-price sales and a reduction in spring sales due to a planned reduction of sales to lower margin customers; and</w:t>
      </w:r>
    </w:p>
    <w:p>
      <w:pPr>
        <w:spacing w:after="0" w:line="75" w:lineRule="exact"/>
        <w:rPr>
          <w:rFonts w:ascii="Arial" w:cs="Arial" w:eastAsia="Arial" w:hAnsi="Arial"/>
          <w:sz w:val="18"/>
          <w:szCs w:val="18"/>
          <w:color w:val="auto"/>
        </w:rPr>
      </w:pPr>
    </w:p>
    <w:p>
      <w:pPr>
        <w:ind w:left="460" w:right="40" w:hanging="101"/>
        <w:spacing w:after="0" w:line="277"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increases in the European wholesale business of approximately $37.4 million on a constant dollar basis, as well as a $28.4 million favorable impact due to a stronger Euro in the current period.</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 xml:space="preserve">Retail net sales </w:t>
      </w:r>
      <w:r>
        <w:rPr>
          <w:rFonts w:ascii="Arial" w:cs="Arial" w:eastAsia="Arial" w:hAnsi="Arial"/>
          <w:sz w:val="18"/>
          <w:szCs w:val="18"/>
          <w:color w:val="auto"/>
        </w:rPr>
        <w:t>— the increase primarily reflects:</w:t>
      </w:r>
    </w:p>
    <w:p>
      <w:pPr>
        <w:spacing w:after="0" w:line="117" w:lineRule="exact"/>
        <w:rPr>
          <w:sz w:val="20"/>
          <w:szCs w:val="20"/>
          <w:color w:val="auto"/>
        </w:rPr>
      </w:pPr>
    </w:p>
    <w:p>
      <w:pPr>
        <w:ind w:left="460" w:right="260" w:hanging="101"/>
        <w:spacing w:after="0" w:line="279"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$21.2 million, or 5.5%, increase in comparable full price store sales and a $27.5 million, or 3.9%, increase in comparable outlet store sales. Sales increased $16.3 million, or 4.2%, in comparable full-price stores and a $21.8 million, or 3.1%, in comparable outlet stores on a constant dollar basis. Excluding the extra week in Fiscal 2004, comparable store sales increased 6.1% and 4.9% in full-price and outlet stores, respectively, on a constant dollar basis. Comparable store sales information includes both Ralph Lauren stores and Club Monaco stores.</w:t>
      </w:r>
    </w:p>
    <w:p>
      <w:pPr>
        <w:spacing w:after="0" w:line="76" w:lineRule="exact"/>
        <w:rPr>
          <w:rFonts w:ascii="Arial" w:cs="Arial" w:eastAsia="Arial" w:hAnsi="Arial"/>
          <w:sz w:val="17"/>
          <w:szCs w:val="17"/>
          <w:color w:val="auto"/>
        </w:rPr>
      </w:pPr>
    </w:p>
    <w:p>
      <w:pPr>
        <w:ind w:left="460" w:hanging="101"/>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inclusion of $60.6 million of sales as a result of consolidation of RL Media.</w:t>
      </w:r>
    </w:p>
    <w:p>
      <w:pPr>
        <w:spacing w:after="0" w:line="130" w:lineRule="exact"/>
        <w:rPr>
          <w:rFonts w:ascii="Arial" w:cs="Arial" w:eastAsia="Arial" w:hAnsi="Arial"/>
          <w:sz w:val="18"/>
          <w:szCs w:val="18"/>
          <w:color w:val="auto"/>
        </w:rPr>
      </w:pPr>
    </w:p>
    <w:p>
      <w:pPr>
        <w:ind w:left="460" w:right="420" w:hanging="101"/>
        <w:spacing w:after="0" w:line="277"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worldwide store expansion. During Fiscal 2005, the Company added 30 stores and closed 13 stores. Our total store count at April 2, 2005 was 278 stores compared to 261 stores at April 3, 2004.</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stronger Euro during the current year, which accounted for approximately $14.7 million of the increase in net sales.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 xml:space="preserve">Licensing revenue </w:t>
      </w:r>
      <w:r>
        <w:rPr>
          <w:rFonts w:ascii="Arial" w:cs="Arial" w:eastAsia="Arial" w:hAnsi="Arial"/>
          <w:sz w:val="18"/>
          <w:szCs w:val="18"/>
          <w:color w:val="auto"/>
        </w:rPr>
        <w:t>— the decrease primarily reflects:</w:t>
      </w:r>
    </w:p>
    <w:p>
      <w:pPr>
        <w:spacing w:after="0" w:line="117" w:lineRule="exact"/>
        <w:rPr>
          <w:sz w:val="20"/>
          <w:szCs w:val="20"/>
          <w:color w:val="auto"/>
        </w:rPr>
      </w:pPr>
    </w:p>
    <w:p>
      <w:pPr>
        <w:ind w:left="460" w:right="200" w:hanging="101"/>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elimination of $34.6 million of royalties from our domestic licensing business due to the acquisition of the Childrenswear business and a full year without royalties from the Lauren licensee.</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$13.1 million increase in international licensing.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80" w:firstLine="270"/>
        <w:spacing w:after="0" w:line="312"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increased $361.2 million, or 27.3%, for Fiscal 2005 compared to Fiscal 2004. Gross profit as a percentage of net revenues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to 51.0% from 49.9% primarily as a result of improved margins in our wholesale and retail businesses driven by reduced markdowns and our inventory management initiatives. Partially offsetting these improvements is the loss of licensing revenues from the Lauren and Childrenswear lines.</w:t>
      </w:r>
    </w:p>
    <w:p>
      <w:pPr>
        <w:spacing w:after="0" w:line="39"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SG&amp;A increased $349.7 million, or 33.9%, to $1.383 billion during Fiscal 2005 from $1.033 billion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Fiscal 2004. SG&amp;A as a percent of net revenues increased to 41.8% from 39.0%. The increase in SG&amp;A was primarily driven by:</w:t>
      </w:r>
    </w:p>
    <w:p>
      <w:pPr>
        <w:spacing w:after="0" w:line="103" w:lineRule="exact"/>
        <w:rPr>
          <w:sz w:val="20"/>
          <w:szCs w:val="20"/>
          <w:color w:val="auto"/>
        </w:rPr>
      </w:pPr>
    </w:p>
    <w:p>
      <w:pPr>
        <w:ind w:left="460" w:right="100" w:hanging="101"/>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charge of $100.0 million recorded in connection with the Jones litigation and the charge of $6.2 million recorded in connection with the credit card matter.</w:t>
      </w:r>
    </w:p>
    <w:p>
      <w:pPr>
        <w:spacing w:after="0" w:line="75" w:lineRule="exact"/>
        <w:rPr>
          <w:rFonts w:ascii="Arial" w:cs="Arial" w:eastAsia="Arial" w:hAnsi="Arial"/>
          <w:sz w:val="18"/>
          <w:szCs w:val="18"/>
          <w:color w:val="auto"/>
        </w:rPr>
      </w:pPr>
    </w:p>
    <w:p>
      <w:pPr>
        <w:ind w:left="460" w:right="180" w:hanging="101"/>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higher selling salaries and related costs of $84.8 million, on a constant dollar basis, in connection with the increase in retail sales and worldwide store expansion.</w:t>
      </w:r>
    </w:p>
    <w:p>
      <w:pPr>
        <w:spacing w:after="0" w:line="75" w:lineRule="exact"/>
        <w:rPr>
          <w:rFonts w:ascii="Arial" w:cs="Arial" w:eastAsia="Arial" w:hAnsi="Arial"/>
          <w:sz w:val="18"/>
          <w:szCs w:val="18"/>
          <w:color w:val="auto"/>
        </w:rPr>
      </w:pPr>
    </w:p>
    <w:p>
      <w:pPr>
        <w:ind w:left="460" w:right="100" w:hanging="101"/>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approximately $19.8 million of the increase in SG&amp;A was due to the impact of foreign currency exchange rate fluctuations, primarily as a result of the strengthening of the Euro Fiscal 2005.</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expenses of $29.6 million as a result of the consolidation of Ralph Lauren Media.</w:t>
      </w:r>
    </w:p>
    <w:p>
      <w:pPr>
        <w:spacing w:after="0" w:line="130" w:lineRule="exact"/>
        <w:rPr>
          <w:rFonts w:ascii="Arial" w:cs="Arial" w:eastAsia="Arial" w:hAnsi="Arial"/>
          <w:sz w:val="18"/>
          <w:szCs w:val="18"/>
          <w:color w:val="auto"/>
        </w:rPr>
      </w:pPr>
    </w:p>
    <w:p>
      <w:pPr>
        <w:ind w:left="460" w:right="380" w:hanging="101"/>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incremental expenses of $22.3 million associated with a full year’s activity in the Lauren wholesale business, exclusive of additional corporate and overhead expenses incurred and reduced royalty revenues received.</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expenses of $37.8 million associated with the newly acquired Childrenswear business.</w:t>
      </w:r>
    </w:p>
    <w:p>
      <w:pPr>
        <w:spacing w:after="0" w:line="117" w:lineRule="exact"/>
        <w:rPr>
          <w:sz w:val="20"/>
          <w:szCs w:val="20"/>
          <w:color w:val="auto"/>
        </w:rPr>
      </w:pPr>
    </w:p>
    <w:p>
      <w:pPr>
        <w:ind w:right="60" w:firstLine="270"/>
        <w:spacing w:after="0" w:line="264" w:lineRule="auto"/>
        <w:rPr>
          <w:sz w:val="20"/>
          <w:szCs w:val="20"/>
          <w:color w:val="auto"/>
        </w:rPr>
      </w:pPr>
      <w:r>
        <w:rPr>
          <w:rFonts w:ascii="Arial" w:cs="Arial" w:eastAsia="Arial" w:hAnsi="Arial"/>
          <w:sz w:val="18"/>
          <w:szCs w:val="18"/>
          <w:i w:val="1"/>
          <w:iCs w:val="1"/>
          <w:color w:val="auto"/>
        </w:rPr>
        <w:t xml:space="preserve">Restructuring Charge. </w:t>
      </w:r>
      <w:r>
        <w:rPr>
          <w:rFonts w:ascii="Arial" w:cs="Arial" w:eastAsia="Arial" w:hAnsi="Arial"/>
          <w:sz w:val="18"/>
          <w:szCs w:val="18"/>
          <w:color w:val="auto"/>
        </w:rPr>
        <w:t>We recorded restructuring charges of $2.3 million during Fiscal 2005, compared to restructuring charges of $19.6 million during</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2004. The Fiscal 2005 restructuring charge is primarily comprised of additional contract termination and severance costs related to the consolidation of our European business operations.</w:t>
      </w:r>
    </w:p>
    <w:p>
      <w:pPr>
        <w:spacing w:after="0" w:line="73"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i w:val="1"/>
          <w:iCs w:val="1"/>
          <w:color w:val="auto"/>
        </w:rPr>
        <w:t xml:space="preserve">Income (Loss) from Operations. </w:t>
      </w:r>
      <w:r>
        <w:rPr>
          <w:rFonts w:ascii="Arial" w:cs="Arial" w:eastAsia="Arial" w:hAnsi="Arial"/>
          <w:sz w:val="18"/>
          <w:szCs w:val="18"/>
          <w:color w:val="auto"/>
        </w:rPr>
        <w:t>Income from operations increased $28.8 million, or 10.6%, in Fiscal 2005 compared to Fiscal 2004. This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an increase in wholesale and retail operating profits that was partially offset by an increase in SG&amp;A costs driven by the items noted above. These increases were partially offset by a decrease in the licensing segment’s profits due to the loss of the Lauren and Childrenswear royalties. Income from operations was not significantly impacted by the stronger Euro and Canadian dollar, because the increased sales resulting from exchange rate fluctuations were substantially offset by a comparable increase in expenses. Income from operations for our business segments are provided below (Dollars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Fiscal Year Ended</w:t>
            </w:r>
          </w:p>
        </w:tc>
        <w:tc>
          <w:tcPr>
            <w:tcW w:w="8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vMerge w:val="restart"/>
          </w:tcPr>
          <w:p>
            <w:pPr>
              <w:jc w:val="right"/>
              <w:ind w:right="940"/>
              <w:spacing w:after="0"/>
              <w:rPr>
                <w:sz w:val="20"/>
                <w:szCs w:val="20"/>
                <w:color w:val="auto"/>
              </w:rPr>
            </w:pPr>
            <w:r>
              <w:rPr>
                <w:rFonts w:ascii="Arial" w:cs="Arial" w:eastAsia="Arial" w:hAnsi="Arial"/>
                <w:sz w:val="14"/>
                <w:szCs w:val="14"/>
                <w:b w:val="1"/>
                <w:bCs w:val="1"/>
                <w:color w:val="auto"/>
              </w:rPr>
              <w:t>Increase</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gridSpan w:val="3"/>
          </w:tcPr>
          <w:p>
            <w:pPr>
              <w:jc w:val="right"/>
              <w:ind w:right="980"/>
              <w:spacing w:after="0" w:line="133" w:lineRule="exact"/>
              <w:rPr>
                <w:sz w:val="20"/>
                <w:szCs w:val="20"/>
                <w:color w:val="auto"/>
              </w:rPr>
            </w:pPr>
            <w:r>
              <w:rPr>
                <w:rFonts w:ascii="Arial" w:cs="Arial" w:eastAsia="Arial" w:hAnsi="Arial"/>
                <w:sz w:val="14"/>
                <w:szCs w:val="14"/>
                <w:b w:val="1"/>
                <w:bCs w:val="1"/>
                <w:color w:val="auto"/>
              </w:rPr>
              <w:t>April 2,</w:t>
            </w:r>
          </w:p>
        </w:tc>
        <w:tc>
          <w:tcPr>
            <w:tcW w:w="260" w:type="dxa"/>
            <w:vAlign w:val="bottom"/>
          </w:tcPr>
          <w:p>
            <w:pPr>
              <w:spacing w:after="0"/>
              <w:rPr>
                <w:sz w:val="11"/>
                <w:szCs w:val="11"/>
                <w:color w:val="auto"/>
              </w:rPr>
            </w:pPr>
          </w:p>
        </w:tc>
        <w:tc>
          <w:tcPr>
            <w:tcW w:w="800" w:type="dxa"/>
            <w:vAlign w:val="bottom"/>
          </w:tcPr>
          <w:p>
            <w:pPr>
              <w:jc w:val="right"/>
              <w:ind w:right="214"/>
              <w:spacing w:after="0" w:line="133" w:lineRule="exact"/>
              <w:rPr>
                <w:sz w:val="20"/>
                <w:szCs w:val="20"/>
                <w:color w:val="auto"/>
              </w:rPr>
            </w:pPr>
            <w:r>
              <w:rPr>
                <w:rFonts w:ascii="Arial" w:cs="Arial" w:eastAsia="Arial" w:hAnsi="Arial"/>
                <w:sz w:val="14"/>
                <w:szCs w:val="14"/>
                <w:b w:val="1"/>
                <w:bCs w:val="1"/>
                <w:color w:val="auto"/>
              </w:rPr>
              <w:t>April 3,</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3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335"/>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7"/>
              </w:rPr>
              <w:t>(Decrease)</w:t>
            </w: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520"/>
              <w:spacing w:after="0"/>
              <w:rPr>
                <w:sz w:val="20"/>
                <w:szCs w:val="20"/>
                <w:color w:val="auto"/>
              </w:rPr>
            </w:pPr>
            <w:r>
              <w:rPr>
                <w:rFonts w:ascii="Arial" w:cs="Arial" w:eastAsia="Arial" w:hAnsi="Arial"/>
                <w:sz w:val="18"/>
                <w:szCs w:val="18"/>
                <w:color w:val="auto"/>
              </w:rPr>
              <w:t>Wholesale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299,710</w:t>
            </w:r>
          </w:p>
        </w:tc>
        <w:tc>
          <w:tcPr>
            <w:tcW w:w="62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143,080</w:t>
            </w:r>
          </w:p>
        </w:tc>
        <w:tc>
          <w:tcPr>
            <w:tcW w:w="36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156,630</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Retail</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82,788</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55,717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27,071</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520"/>
              <w:spacing w:after="0"/>
              <w:rPr>
                <w:sz w:val="20"/>
                <w:szCs w:val="20"/>
                <w:color w:val="auto"/>
              </w:rPr>
            </w:pPr>
            <w:r>
              <w:rPr>
                <w:rFonts w:ascii="Arial" w:cs="Arial" w:eastAsia="Arial" w:hAnsi="Arial"/>
                <w:sz w:val="18"/>
                <w:szCs w:val="18"/>
                <w:color w:val="auto"/>
              </w:rPr>
              <w:t>Licensing</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159,537</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191,575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(32,038)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542,035</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390,372</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151,663</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
        </w:trPr>
        <w:tc>
          <w:tcPr>
            <w:tcW w:w="48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Less: Unallocated Corporate expense</w:t>
            </w:r>
          </w:p>
        </w:tc>
        <w:tc>
          <w:tcPr>
            <w:tcW w:w="220" w:type="dxa"/>
            <w:vAlign w:val="bottom"/>
          </w:tcPr>
          <w:p>
            <w:pPr>
              <w:spacing w:after="0" w:line="20" w:lineRule="exact"/>
              <w:rPr>
                <w:sz w:val="1"/>
                <w:szCs w:val="1"/>
                <w:color w:val="auto"/>
              </w:rPr>
            </w:pPr>
          </w:p>
        </w:tc>
        <w:tc>
          <w:tcPr>
            <w:tcW w:w="1560" w:type="dxa"/>
            <w:vAlign w:val="bottom"/>
            <w:gridSpan w:val="3"/>
            <w:vMerge w:val="restart"/>
          </w:tcPr>
          <w:p>
            <w:pPr>
              <w:jc w:val="right"/>
              <w:ind w:right="580"/>
              <w:spacing w:after="0"/>
              <w:rPr>
                <w:sz w:val="20"/>
                <w:szCs w:val="20"/>
                <w:color w:val="auto"/>
              </w:rPr>
            </w:pPr>
            <w:r>
              <w:rPr>
                <w:rFonts w:ascii="Arial" w:cs="Arial" w:eastAsia="Arial" w:hAnsi="Arial"/>
                <w:sz w:val="18"/>
                <w:szCs w:val="18"/>
                <w:color w:val="auto"/>
              </w:rPr>
              <w:t>(133,809)</w:t>
            </w:r>
          </w:p>
        </w:tc>
        <w:tc>
          <w:tcPr>
            <w:tcW w:w="260" w:type="dxa"/>
            <w:vAlign w:val="bottom"/>
          </w:tcPr>
          <w:p>
            <w:pPr>
              <w:spacing w:after="0" w:line="20" w:lineRule="exact"/>
              <w:rPr>
                <w:sz w:val="1"/>
                <w:szCs w:val="1"/>
                <w:color w:val="auto"/>
              </w:rPr>
            </w:pP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(99,915)</w:t>
            </w: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3"/>
        </w:trPr>
        <w:tc>
          <w:tcPr>
            <w:tcW w:w="48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(33,894)</w:t>
            </w:r>
          </w:p>
        </w:tc>
        <w:tc>
          <w:tcPr>
            <w:tcW w:w="66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Unallocated legal and restructuring charges</w:t>
            </w:r>
          </w:p>
        </w:tc>
        <w:tc>
          <w:tcPr>
            <w:tcW w:w="2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(108,541)</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(19,566)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299,685</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270,891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440" w:firstLine="270"/>
        <w:spacing w:after="0" w:line="277" w:lineRule="auto"/>
        <w:rPr>
          <w:sz w:val="20"/>
          <w:szCs w:val="20"/>
          <w:color w:val="auto"/>
        </w:rPr>
      </w:pPr>
      <w:r>
        <w:rPr>
          <w:rFonts w:ascii="Arial" w:cs="Arial" w:eastAsia="Arial" w:hAnsi="Arial"/>
          <w:sz w:val="18"/>
          <w:szCs w:val="18"/>
          <w:b w:val="1"/>
          <w:bCs w:val="1"/>
          <w:i w:val="1"/>
          <w:iCs w:val="1"/>
          <w:color w:val="auto"/>
        </w:rPr>
        <w:t xml:space="preserve">Wholesale operating income </w:t>
      </w:r>
      <w:r>
        <w:rPr>
          <w:rFonts w:ascii="Arial" w:cs="Arial" w:eastAsia="Arial" w:hAnsi="Arial"/>
          <w:sz w:val="18"/>
          <w:szCs w:val="18"/>
          <w:color w:val="auto"/>
        </w:rPr>
        <w:t>increased primarily as a result of incremental net sales in our newly acquired Childrenswear business and a full year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activity in the Lauren business.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70"/>
        <w:spacing w:after="0" w:line="342" w:lineRule="auto"/>
        <w:rPr>
          <w:sz w:val="20"/>
          <w:szCs w:val="20"/>
          <w:color w:val="auto"/>
        </w:rPr>
      </w:pPr>
      <w:r>
        <w:rPr>
          <w:rFonts w:ascii="Arial" w:cs="Arial" w:eastAsia="Arial" w:hAnsi="Arial"/>
          <w:sz w:val="16"/>
          <w:szCs w:val="16"/>
          <w:b w:val="1"/>
          <w:bCs w:val="1"/>
          <w:i w:val="1"/>
          <w:iCs w:val="1"/>
          <w:color w:val="auto"/>
        </w:rPr>
        <w:t xml:space="preserve">Retail operating income </w:t>
      </w:r>
      <w:r>
        <w:rPr>
          <w:rFonts w:ascii="Arial" w:cs="Arial" w:eastAsia="Arial" w:hAnsi="Arial"/>
          <w:sz w:val="16"/>
          <w:szCs w:val="16"/>
          <w:color w:val="auto"/>
        </w:rPr>
        <w:t>increased primarily as a result of increased net sales and improved gross profits as a percentage of net revenues. These increases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were partially offset by the increase in selling salaries and related costs in connection with the increase in retail sales and worldwide store expansion.</w:t>
      </w:r>
    </w:p>
    <w:p>
      <w:pPr>
        <w:spacing w:after="0" w:line="16" w:lineRule="exact"/>
        <w:rPr>
          <w:sz w:val="20"/>
          <w:szCs w:val="20"/>
          <w:color w:val="auto"/>
        </w:rPr>
      </w:pPr>
    </w:p>
    <w:p>
      <w:pPr>
        <w:ind w:right="260" w:firstLine="270"/>
        <w:spacing w:after="0" w:line="277" w:lineRule="auto"/>
        <w:rPr>
          <w:sz w:val="20"/>
          <w:szCs w:val="20"/>
          <w:color w:val="auto"/>
        </w:rPr>
      </w:pPr>
      <w:r>
        <w:rPr>
          <w:rFonts w:ascii="Arial" w:cs="Arial" w:eastAsia="Arial" w:hAnsi="Arial"/>
          <w:sz w:val="18"/>
          <w:szCs w:val="18"/>
          <w:b w:val="1"/>
          <w:bCs w:val="1"/>
          <w:i w:val="1"/>
          <w:iCs w:val="1"/>
          <w:color w:val="auto"/>
        </w:rPr>
        <w:t xml:space="preserve">Licensing income </w:t>
      </w:r>
      <w:r>
        <w:rPr>
          <w:rFonts w:ascii="Arial" w:cs="Arial" w:eastAsia="Arial" w:hAnsi="Arial"/>
          <w:sz w:val="18"/>
          <w:szCs w:val="18"/>
          <w:color w:val="auto"/>
        </w:rPr>
        <w:t>decreased primarily due to the loss of the Lauren and Childrens royalties. This decrease was partially offset by improvements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licensing business.</w:t>
      </w:r>
    </w:p>
    <w:p>
      <w:pPr>
        <w:spacing w:after="0" w:line="62" w:lineRule="exact"/>
        <w:rPr>
          <w:sz w:val="20"/>
          <w:szCs w:val="20"/>
          <w:color w:val="auto"/>
        </w:rPr>
      </w:pPr>
    </w:p>
    <w:p>
      <w:pPr>
        <w:ind w:right="40" w:firstLine="270"/>
        <w:spacing w:after="0" w:line="277" w:lineRule="auto"/>
        <w:rPr>
          <w:sz w:val="20"/>
          <w:szCs w:val="20"/>
          <w:color w:val="auto"/>
        </w:rPr>
      </w:pPr>
      <w:r>
        <w:rPr>
          <w:rFonts w:ascii="Arial" w:cs="Arial" w:eastAsia="Arial" w:hAnsi="Arial"/>
          <w:sz w:val="18"/>
          <w:szCs w:val="18"/>
          <w:b w:val="1"/>
          <w:bCs w:val="1"/>
          <w:i w:val="1"/>
          <w:iCs w:val="1"/>
          <w:color w:val="auto"/>
        </w:rPr>
        <w:t xml:space="preserve">Unallocated Corporate Expenses </w:t>
      </w:r>
      <w:r>
        <w:rPr>
          <w:rFonts w:ascii="Arial" w:cs="Arial" w:eastAsia="Arial" w:hAnsi="Arial"/>
          <w:sz w:val="18"/>
          <w:szCs w:val="18"/>
          <w:color w:val="auto"/>
        </w:rPr>
        <w:t>increased primarily as a result of increased stock compensation expense and increased bonus accrual resulting from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operating income.</w:t>
      </w:r>
    </w:p>
    <w:p>
      <w:pPr>
        <w:spacing w:after="0" w:line="62" w:lineRule="exact"/>
        <w:rPr>
          <w:sz w:val="20"/>
          <w:szCs w:val="20"/>
          <w:color w:val="auto"/>
        </w:rPr>
      </w:pPr>
    </w:p>
    <w:p>
      <w:pPr>
        <w:ind w:right="40" w:firstLine="270"/>
        <w:spacing w:after="0" w:line="264" w:lineRule="auto"/>
        <w:rPr>
          <w:sz w:val="20"/>
          <w:szCs w:val="20"/>
          <w:color w:val="auto"/>
        </w:rPr>
      </w:pPr>
      <w:r>
        <w:rPr>
          <w:rFonts w:ascii="Arial" w:cs="Arial" w:eastAsia="Arial" w:hAnsi="Arial"/>
          <w:sz w:val="18"/>
          <w:szCs w:val="18"/>
          <w:i w:val="1"/>
          <w:iCs w:val="1"/>
          <w:color w:val="auto"/>
        </w:rPr>
        <w:t xml:space="preserve">Foreign Currency (Gains) Losses. </w:t>
      </w:r>
      <w:r>
        <w:rPr>
          <w:rFonts w:ascii="Arial" w:cs="Arial" w:eastAsia="Arial" w:hAnsi="Arial"/>
          <w:sz w:val="18"/>
          <w:szCs w:val="18"/>
          <w:color w:val="auto"/>
        </w:rPr>
        <w:t>The effect of foreign currency exchange rate fluctuations resulted in a gain of $6.1 million during Fiscal 2005,</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 $1.9 million loss during Fiscal 2004. These gains are unrelated to the impact of changes in the value of the dollar when operating results of our foreign subsidiaries are converted to U.S. dollars.</w:t>
      </w:r>
    </w:p>
    <w:p>
      <w:pPr>
        <w:spacing w:after="0" w:line="73" w:lineRule="exact"/>
        <w:rPr>
          <w:sz w:val="20"/>
          <w:szCs w:val="20"/>
          <w:color w:val="auto"/>
        </w:rPr>
      </w:pPr>
    </w:p>
    <w:p>
      <w:pPr>
        <w:ind w:right="380" w:firstLine="270"/>
        <w:spacing w:after="0" w:line="264"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decreased to $6.4 million in Fiscal 2005 from $10.0 million for Fiscal 2004. This decrease was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 of approximately $100.0 million of short-term borrowings during Fiscal 2004, as well as decreased interest rates as a result of the interest rate swaps described in “Liquidity and Capital Resources — Derivative Instruments.”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effective tax rate was 35.9% for Fiscal 2005, compared to 36.2% for Fiscal 2004.</w:t>
      </w:r>
    </w:p>
    <w:p>
      <w:pPr>
        <w:spacing w:after="0" w:line="117" w:lineRule="exact"/>
        <w:rPr>
          <w:sz w:val="20"/>
          <w:szCs w:val="20"/>
          <w:color w:val="auto"/>
        </w:rPr>
      </w:pPr>
    </w:p>
    <w:p>
      <w:pPr>
        <w:ind w:firstLine="270"/>
        <w:spacing w:after="0" w:line="257"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Other expense (income) net was $1.6 million for Fiscal 2005. This reflects $6.4 million of income related to our 20%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 Impact21, the company that holds the sublicenses for the Polo Ralph Lauren men’s, women’s and jeans business in Japan, net of $3.8 million of minority interest expense associated with our Japanese master license, both of which were acquired in February 2003 (excluding the additional 2% equity interest in the entity that holds the sublicenses that we acquired in May 2003). Also included in Fiscal 2005 is $4.2 million of minority interest expense for Ralph Lauren Media.</w:t>
      </w:r>
    </w:p>
    <w:p>
      <w:pPr>
        <w:spacing w:after="0" w:line="80"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for Fiscal 2005 to $190.4 million from $169.2 million for Fiscal 2004, or 5.8% and 6.4% of net revenues,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per share on a fully diluted basis increased by $0.15 to $1.83 per share as a result of the increase in net income for the reasons previously discussed partially offset by an increase in diluted shares outstanding of 3.1 million due to the exercise of stock options, a higher average stock price and the award of restricted stock units to executives.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Fiscal 2004 Compared to Fiscal 2003</w:t>
      </w:r>
    </w:p>
    <w:p>
      <w:pPr>
        <w:spacing w:after="0" w:line="117" w:lineRule="exact"/>
        <w:rPr>
          <w:sz w:val="20"/>
          <w:szCs w:val="20"/>
          <w:color w:val="auto"/>
        </w:rPr>
      </w:pPr>
    </w:p>
    <w:p>
      <w:pPr>
        <w:ind w:right="20" w:firstLine="270"/>
        <w:spacing w:after="0" w:line="291"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Net revenues for Fiscal 2004 were $2.650 billion, an increase of $210.3 million over net revenues for Fiscal 2003. This increase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increases in our retail segment as a result of our improved comparable retail store sales, continued store expansion and the favorable impact of the strengthening Euro and Canadian dollar. Also contributing to the sales increase was the 53rd week in Fiscal 2004 compared to 52 weeks in Fiscal 2003. The 53rd week was responsible for an estimated $39.5 million of the sales increase. Further influencing the increase in net revenues were overall increases in licensing revenues driven by the incremental effect of the consolidation of revenues from the Japanese master license and improved results in the footwear business. Additionally, wholesale revenues increased as a result of the sale of Lauren products commencing in the third quarter of fiscal year 2004. These increases were partially offset by decreased sales in our wholesale business primarily driven by planned reductions in off price sales in our</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men’s, women’s and European business as well as the loss of the Lauren and Ralph royalties from Jones. Net revenues for our business segments are provided below (dollars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 Ended</w:t>
            </w:r>
          </w:p>
        </w:tc>
        <w:tc>
          <w:tcPr>
            <w:tcW w:w="94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vMerge w:val="restart"/>
          </w:tcPr>
          <w:p>
            <w:pPr>
              <w:jc w:val="right"/>
              <w:ind w:right="920"/>
              <w:spacing w:after="0"/>
              <w:rPr>
                <w:sz w:val="20"/>
                <w:szCs w:val="20"/>
                <w:color w:val="auto"/>
              </w:rPr>
            </w:pPr>
            <w:r>
              <w:rPr>
                <w:rFonts w:ascii="Arial" w:cs="Arial" w:eastAsia="Arial" w:hAnsi="Arial"/>
                <w:sz w:val="14"/>
                <w:szCs w:val="14"/>
                <w:b w:val="1"/>
                <w:bCs w:val="1"/>
                <w:color w:val="auto"/>
              </w:rPr>
              <w:t>Increase</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gridSpan w:val="2"/>
          </w:tcPr>
          <w:p>
            <w:pPr>
              <w:jc w:val="center"/>
              <w:ind w:right="860"/>
              <w:spacing w:after="0" w:line="133" w:lineRule="exact"/>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1"/>
                <w:szCs w:val="11"/>
                <w:color w:val="auto"/>
              </w:rPr>
            </w:pPr>
          </w:p>
        </w:tc>
        <w:tc>
          <w:tcPr>
            <w:tcW w:w="940" w:type="dxa"/>
            <w:vAlign w:val="bottom"/>
          </w:tcPr>
          <w:p>
            <w:pPr>
              <w:jc w:val="right"/>
              <w:ind w:right="196"/>
              <w:spacing w:after="0" w:line="133" w:lineRule="exact"/>
              <w:rPr>
                <w:sz w:val="20"/>
                <w:szCs w:val="20"/>
                <w:color w:val="auto"/>
              </w:rPr>
            </w:pPr>
            <w:r>
              <w:rPr>
                <w:rFonts w:ascii="Arial" w:cs="Arial" w:eastAsia="Arial" w:hAnsi="Arial"/>
                <w:sz w:val="14"/>
                <w:szCs w:val="14"/>
                <w:b w:val="1"/>
                <w:bCs w:val="1"/>
                <w:color w:val="auto"/>
                <w:w w:val="99"/>
              </w:rPr>
              <w:t>March 29,</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358"/>
              <w:spacing w:after="0"/>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76"/>
              <w:spacing w:after="0"/>
              <w:rPr>
                <w:sz w:val="20"/>
                <w:szCs w:val="20"/>
                <w:color w:val="auto"/>
              </w:rPr>
            </w:pPr>
            <w:r>
              <w:rPr>
                <w:rFonts w:ascii="Arial" w:cs="Arial" w:eastAsia="Arial" w:hAnsi="Arial"/>
                <w:sz w:val="14"/>
                <w:szCs w:val="14"/>
                <w:b w:val="1"/>
                <w:bCs w:val="1"/>
                <w:color w:val="auto"/>
              </w:rPr>
              <w:t>2003</w:t>
            </w: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4"/>
              </w:rPr>
              <w:t>(Decrease)</w:t>
            </w: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Wholesale</w:t>
            </w:r>
          </w:p>
        </w:tc>
        <w:tc>
          <w:tcPr>
            <w:tcW w:w="18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1,210,397</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740"/>
              <w:spacing w:after="0"/>
              <w:rPr>
                <w:sz w:val="20"/>
                <w:szCs w:val="20"/>
                <w:color w:val="auto"/>
              </w:rPr>
            </w:pPr>
            <w:r>
              <w:rPr>
                <w:rFonts w:ascii="Arial" w:cs="Arial" w:eastAsia="Arial" w:hAnsi="Arial"/>
                <w:sz w:val="18"/>
                <w:szCs w:val="18"/>
                <w:color w:val="auto"/>
              </w:rPr>
              <w:t>1,187,363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23,034</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1,170,447</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1,001,958</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168,489</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Licensing</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268,810</w:t>
            </w:r>
          </w:p>
        </w:tc>
        <w:tc>
          <w:tcPr>
            <w:tcW w:w="260" w:type="dxa"/>
            <w:vAlign w:val="bottom"/>
          </w:tcPr>
          <w:p>
            <w:pPr>
              <w:spacing w:after="0"/>
              <w:rPr>
                <w:sz w:val="18"/>
                <w:szCs w:val="18"/>
                <w:color w:val="auto"/>
              </w:rPr>
            </w:pPr>
          </w:p>
        </w:tc>
        <w:tc>
          <w:tcPr>
            <w:tcW w:w="1680" w:type="dxa"/>
            <w:vAlign w:val="bottom"/>
            <w:gridSpan w:val="2"/>
          </w:tcPr>
          <w:p>
            <w:pPr>
              <w:jc w:val="right"/>
              <w:ind w:right="740"/>
              <w:spacing w:after="0"/>
              <w:rPr>
                <w:sz w:val="20"/>
                <w:szCs w:val="20"/>
                <w:color w:val="auto"/>
              </w:rPr>
            </w:pPr>
            <w:r>
              <w:rPr>
                <w:rFonts w:ascii="Arial" w:cs="Arial" w:eastAsia="Arial" w:hAnsi="Arial"/>
                <w:sz w:val="18"/>
                <w:szCs w:val="18"/>
                <w:color w:val="auto"/>
              </w:rPr>
              <w:t>250,019</w:t>
            </w:r>
          </w:p>
        </w:tc>
        <w:tc>
          <w:tcPr>
            <w:tcW w:w="16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18,791</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2,649,654</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2,439,340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210,314</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 xml:space="preserve">Wholesale net sales </w:t>
      </w:r>
      <w:r>
        <w:rPr>
          <w:rFonts w:ascii="Arial" w:cs="Arial" w:eastAsia="Arial" w:hAnsi="Arial"/>
          <w:sz w:val="18"/>
          <w:szCs w:val="18"/>
          <w:color w:val="auto"/>
        </w:rPr>
        <w:t>increased primarily due to:</w:t>
      </w:r>
    </w:p>
    <w:p>
      <w:pPr>
        <w:spacing w:after="0" w:line="117" w:lineRule="exact"/>
        <w:rPr>
          <w:sz w:val="20"/>
          <w:szCs w:val="20"/>
          <w:color w:val="auto"/>
        </w:rPr>
      </w:pPr>
    </w:p>
    <w:p>
      <w:pPr>
        <w:ind w:left="460" w:hanging="101"/>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addition of the Lauren line, which accounted for net sales of approximately $109.8 million in the current year, partially offset by:</w:t>
      </w:r>
    </w:p>
    <w:p>
      <w:pPr>
        <w:spacing w:after="0" w:line="130" w:lineRule="exact"/>
        <w:rPr>
          <w:rFonts w:ascii="Arial" w:cs="Arial" w:eastAsia="Arial" w:hAnsi="Arial"/>
          <w:sz w:val="18"/>
          <w:szCs w:val="18"/>
          <w:color w:val="auto"/>
        </w:rPr>
      </w:pPr>
    </w:p>
    <w:p>
      <w:pPr>
        <w:ind w:left="460" w:right="60" w:hanging="101"/>
        <w:spacing w:after="0" w:line="27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$60.4 million decrease in the domestic men’s wholesale business, which resulted from a planned reduction in off-price sales and a reduction in spring sales due to a planned reduction of sales to lower margin customers.</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elimination of the women’s Ralph Lauren Sport line, which accounted for net sales of approximately $12.3 million in the prior year.</w:t>
      </w:r>
    </w:p>
    <w:p>
      <w:pPr>
        <w:spacing w:after="0" w:line="130" w:lineRule="exact"/>
        <w:rPr>
          <w:rFonts w:ascii="Arial" w:cs="Arial" w:eastAsia="Arial" w:hAnsi="Arial"/>
          <w:sz w:val="18"/>
          <w:szCs w:val="18"/>
          <w:color w:val="auto"/>
        </w:rPr>
      </w:pPr>
    </w:p>
    <w:p>
      <w:pPr>
        <w:ind w:left="460" w:right="200" w:hanging="101"/>
        <w:spacing w:after="0" w:line="27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decreases in the European wholesale business, primarily due to the soft economic conditions in Europe, of approximately $65.4 million on a constant dollar basis, offset by a $45.1 million favorable impact due to a stronger Euro in the current period.</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 xml:space="preserve">Retail net sales </w:t>
      </w:r>
      <w:r>
        <w:rPr>
          <w:rFonts w:ascii="Arial" w:cs="Arial" w:eastAsia="Arial" w:hAnsi="Arial"/>
          <w:sz w:val="18"/>
          <w:szCs w:val="18"/>
          <w:color w:val="auto"/>
        </w:rPr>
        <w:t>increased primarily as a result of:</w:t>
      </w:r>
    </w:p>
    <w:p>
      <w:pPr>
        <w:spacing w:after="0" w:line="117" w:lineRule="exact"/>
        <w:rPr>
          <w:sz w:val="20"/>
          <w:szCs w:val="20"/>
          <w:color w:val="auto"/>
        </w:rPr>
      </w:pPr>
    </w:p>
    <w:p>
      <w:pPr>
        <w:ind w:left="460" w:hanging="101"/>
        <w:spacing w:after="0" w:line="257"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$43.7 million, or 14.4%, increase in comparable full-price store sales and a $48.8 million, or 7.6%, increase in comparable outlet store sales on a constant dollar basis. Excluding the extra week in Fiscal 2004, comparable store sales increased 12.2% and 5.7% in full-price and outlet stores, respectively, on a constant dollar basis. Comparable store sales for the 53 weeks increased 18.0% and 8.8% for the full price stores and the outlet stores, respectively, while comparable store sales on a 52 week basis increased 15.8% for full price stores and 6.9% for outlet stores. Comparable store sales information includes both Ralph Lauren stores and Club Monaco stores.</w:t>
      </w:r>
    </w:p>
    <w:p>
      <w:pPr>
        <w:spacing w:after="0" w:line="93" w:lineRule="exact"/>
        <w:rPr>
          <w:rFonts w:ascii="Arial" w:cs="Arial" w:eastAsia="Arial" w:hAnsi="Arial"/>
          <w:sz w:val="18"/>
          <w:szCs w:val="18"/>
          <w:color w:val="auto"/>
        </w:rPr>
      </w:pPr>
    </w:p>
    <w:p>
      <w:pPr>
        <w:ind w:left="460" w:right="40" w:hanging="101"/>
        <w:spacing w:after="0" w:line="277"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worldwide store expansion. During Fiscal 2004, the Company added 15 stores and closed 7 stores. Our total store count at April 3, 2004 was 261 stores compared to 253 stores at March 29, 2003.</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stronger Euro and Canadian dollar in the current period, accounted for approximately $27.0 million of the increase in net sales.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 xml:space="preserve">Licensing revenue </w:t>
      </w:r>
      <w:r>
        <w:rPr>
          <w:rFonts w:ascii="Arial" w:cs="Arial" w:eastAsia="Arial" w:hAnsi="Arial"/>
          <w:sz w:val="18"/>
          <w:szCs w:val="18"/>
          <w:color w:val="auto"/>
        </w:rPr>
        <w:t>— the increase primarily reflects:</w:t>
      </w:r>
    </w:p>
    <w:p>
      <w:pPr>
        <w:spacing w:after="0" w:line="117" w:lineRule="exact"/>
        <w:rPr>
          <w:sz w:val="20"/>
          <w:szCs w:val="20"/>
          <w:color w:val="auto"/>
        </w:rPr>
      </w:pPr>
    </w:p>
    <w:p>
      <w:pPr>
        <w:ind w:left="460" w:right="340" w:hanging="101"/>
        <w:spacing w:after="0" w:line="277"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$27.5 million increase in international licensing primarily due to the incremental effect of the consolidation of revenues from the Japanese master license.</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$3.5 million increase in domestic licensing due to improvements in the footwear business.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loss of $15.8 million of Lauren and Ralph royalties from Jones compared to the prior year.</w:t>
      </w:r>
    </w:p>
    <w:p>
      <w:pPr>
        <w:spacing w:after="0" w:line="117" w:lineRule="exact"/>
        <w:rPr>
          <w:sz w:val="20"/>
          <w:szCs w:val="20"/>
          <w:color w:val="auto"/>
        </w:rPr>
      </w:pPr>
    </w:p>
    <w:p>
      <w:pPr>
        <w:ind w:right="140" w:firstLine="270"/>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increased $115.7 million, or 9.6%, for Fiscal 2004 compared to Fiscal 2003 primarily as a result of the increases discussed</w:t>
      </w:r>
      <w:r>
        <w:rPr>
          <w:rFonts w:ascii="Arial" w:cs="Arial" w:eastAsia="Arial" w:hAnsi="Arial"/>
          <w:sz w:val="18"/>
          <w:szCs w:val="18"/>
          <w:i w:val="1"/>
          <w:iCs w:val="1"/>
          <w:color w:val="auto"/>
        </w:rPr>
        <w:t xml:space="preserve"> </w:t>
      </w:r>
      <w:r>
        <w:rPr>
          <w:rFonts w:ascii="Arial" w:cs="Arial" w:eastAsia="Arial" w:hAnsi="Arial"/>
          <w:sz w:val="18"/>
          <w:szCs w:val="18"/>
          <w:color w:val="auto"/>
        </w:rPr>
        <w:t>above. Gross profit as a percentage of net revenues increased to 49.9% from 49.5%. This increase reflects a change in business mix, with retail sales representing 44.2% of revenues in Fiscal 2004 compared to 41.1% in Fiscal 2003 and improved margins in our Ralph Lauren and Club Monaco retail stores. The increasing gross profit rate also reflects higher realized sales dollars resulting from a combination of improved product mix as well as the benefits of advertising and targeted marketing.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rate improvement also reflects a continued focus on inventory management. Although our inventory balance at April 2, 2005 is approximately the same as it was at April 3, 2004, this primarily reflects the appreciation of the Euro, inventories related to our Lauren wholesale business and increased levels of inventory related to our retail growth offset by decreases in inventory in other lines of business.</w:t>
      </w:r>
    </w:p>
    <w:p>
      <w:pPr>
        <w:spacing w:after="0" w:line="73" w:lineRule="exact"/>
        <w:rPr>
          <w:sz w:val="20"/>
          <w:szCs w:val="20"/>
          <w:color w:val="auto"/>
        </w:rPr>
      </w:pPr>
    </w:p>
    <w:p>
      <w:pPr>
        <w:ind w:right="480" w:firstLine="270"/>
        <w:spacing w:after="0" w:line="308"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SG&amp;A increased $130.6 million, or 14.5%, to $1.033 billion during Fiscal 2004 from $902.3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during Fiscal 2003. SG&amp;A as a percent of net revenues increased to 39.0% from 37.0%. The increase in SG&amp;A was primarily driven by:</w:t>
      </w:r>
    </w:p>
    <w:p>
      <w:pPr>
        <w:spacing w:after="0" w:line="38" w:lineRule="exact"/>
        <w:rPr>
          <w:sz w:val="20"/>
          <w:szCs w:val="20"/>
          <w:color w:val="auto"/>
        </w:rPr>
      </w:pPr>
    </w:p>
    <w:p>
      <w:pPr>
        <w:ind w:left="460" w:right="180" w:hanging="101"/>
        <w:spacing w:after="0" w:line="277"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selling salaries and related costs of $48.7 million, exclusive of the effect of foreign currency exchange rate fluctuations in connection with the increase in retail sales and worldwide store expansion.</w:t>
      </w:r>
    </w:p>
    <w:p>
      <w:pPr>
        <w:spacing w:after="0" w:line="75" w:lineRule="exact"/>
        <w:rPr>
          <w:rFonts w:ascii="Arial" w:cs="Arial" w:eastAsia="Arial" w:hAnsi="Arial"/>
          <w:sz w:val="18"/>
          <w:szCs w:val="18"/>
          <w:color w:val="auto"/>
        </w:rPr>
      </w:pPr>
    </w:p>
    <w:p>
      <w:pPr>
        <w:ind w:left="460" w:right="60" w:hanging="101"/>
        <w:spacing w:after="0" w:line="277"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Approximately $30.4 million of the increase in SG&amp;A was due to the impact of foreign currency exchange rate fluctuations, primarily as a result of the strengthening of the Euro and Canadian dollar in Fiscal 2004.</w:t>
      </w:r>
    </w:p>
    <w:p>
      <w:pPr>
        <w:spacing w:after="0" w:line="75" w:lineRule="exact"/>
        <w:rPr>
          <w:rFonts w:ascii="Arial" w:cs="Arial" w:eastAsia="Arial" w:hAnsi="Arial"/>
          <w:sz w:val="18"/>
          <w:szCs w:val="18"/>
          <w:color w:val="auto"/>
        </w:rPr>
      </w:pPr>
    </w:p>
    <w:p>
      <w:pPr>
        <w:ind w:left="460" w:right="560" w:hanging="101"/>
        <w:spacing w:after="0" w:line="277"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Expenses of $28.1 million associated with the Lauren wholesale business, exclusive of additional corporate and overhead expenses incurred and reduced royalty revenues received.</w:t>
      </w:r>
    </w:p>
    <w:p>
      <w:pPr>
        <w:spacing w:after="0" w:line="75" w:lineRule="exact"/>
        <w:rPr>
          <w:rFonts w:ascii="Arial" w:cs="Arial" w:eastAsia="Arial" w:hAnsi="Arial"/>
          <w:sz w:val="18"/>
          <w:szCs w:val="18"/>
          <w:color w:val="auto"/>
        </w:rPr>
      </w:pPr>
    </w:p>
    <w:p>
      <w:pPr>
        <w:ind w:left="460" w:right="340" w:hanging="101"/>
        <w:spacing w:after="0" w:line="277"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$19.0 million of increased international licensing SG&amp;A primarily due to the consolidation of incremental expenses relating to the Japanese master license.</w:t>
      </w:r>
    </w:p>
    <w:p>
      <w:pPr>
        <w:spacing w:after="0" w:line="62" w:lineRule="exact"/>
        <w:rPr>
          <w:sz w:val="20"/>
          <w:szCs w:val="20"/>
          <w:color w:val="auto"/>
        </w:rPr>
      </w:pPr>
    </w:p>
    <w:p>
      <w:pPr>
        <w:jc w:val="both"/>
        <w:ind w:right="140" w:firstLine="270"/>
        <w:spacing w:after="0" w:line="288" w:lineRule="auto"/>
        <w:rPr>
          <w:sz w:val="20"/>
          <w:szCs w:val="20"/>
          <w:color w:val="auto"/>
        </w:rPr>
      </w:pPr>
      <w:r>
        <w:rPr>
          <w:rFonts w:ascii="Arial" w:cs="Arial" w:eastAsia="Arial" w:hAnsi="Arial"/>
          <w:sz w:val="16"/>
          <w:szCs w:val="16"/>
          <w:i w:val="1"/>
          <w:iCs w:val="1"/>
          <w:color w:val="auto"/>
        </w:rPr>
        <w:t xml:space="preserve">Restructuring Charge. </w:t>
      </w:r>
      <w:r>
        <w:rPr>
          <w:rFonts w:ascii="Arial" w:cs="Arial" w:eastAsia="Arial" w:hAnsi="Arial"/>
          <w:sz w:val="16"/>
          <w:szCs w:val="16"/>
          <w:color w:val="auto"/>
        </w:rPr>
        <w:t>We recorded restructuring charges of $19.6 million during Fiscal 2004, compared to restructuring charges of $14.4 million during</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2003. The Fiscal 2004 restructuring charge is comprised of an additional $10.4 million for lease termination costs primarily associated with two Club Monaco retail properties included in our 2001 Operational Plan due to real estate market factors that were less favorable than originally estimated,</w:t>
      </w:r>
    </w:p>
    <w:p>
      <w:pPr>
        <w:spacing w:after="0"/>
        <w:rPr>
          <w:sz w:val="20"/>
          <w:szCs w:val="20"/>
          <w:color w:val="auto"/>
        </w:rPr>
      </w:pPr>
      <w:r>
        <w:rPr>
          <w:rFonts w:ascii="Arial" w:cs="Arial" w:eastAsia="Arial" w:hAnsi="Arial"/>
          <w:sz w:val="17"/>
          <w:szCs w:val="17"/>
          <w:color w:val="auto"/>
        </w:rPr>
        <w:t>$7.9 million for additional contract termination and severance costs related to the consolidation of our European business operations (approximately</w:t>
      </w:r>
    </w:p>
    <w:p>
      <w:pPr>
        <w:spacing w:after="0" w:line="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$6.7 million for the wholesale business and $1.2 million for the retail business) and $1.3 million for lease termination and asset write-offs associated with the March 2004 decision to close our RRL stores. The Fiscal 2003 restructuring charge of $14.4 million related to severance and contract termination costs in connection with the consolidation of our European business operations.</w:t>
      </w:r>
    </w:p>
    <w:p>
      <w:pPr>
        <w:spacing w:after="0" w:line="82"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i w:val="1"/>
          <w:iCs w:val="1"/>
          <w:color w:val="auto"/>
        </w:rPr>
        <w:t xml:space="preserve">Income (Loss) from Operations. </w:t>
      </w:r>
      <w:r>
        <w:rPr>
          <w:rFonts w:ascii="Arial" w:cs="Arial" w:eastAsia="Arial" w:hAnsi="Arial"/>
          <w:sz w:val="18"/>
          <w:szCs w:val="18"/>
          <w:color w:val="auto"/>
        </w:rPr>
        <w:t>Income from operations decreased $20.0 million, or 6.9%, in Fiscal 2004 compared to Fiscal 2003. This decrease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a decrease in wholesale operating profits, restructuring charges, the decrease in Lauren and Ralph royalties from Jones following the license termination in December 2003 and the start up expenses associated with the Lauren line. These decreases were partially offset by an increase in the retail segment’s profits. Income from operations was not significantly impacted by the stronger Euro and Canadian dollar in Fiscal 2004 because the increased sales resulting from exchange rate fluctuations were substantially offset by a comparable increase in expenses. Income from operations for our business segments are provided below (Dollars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Fiscal Year Ended</w:t>
            </w:r>
          </w:p>
        </w:tc>
        <w:tc>
          <w:tcPr>
            <w:tcW w:w="8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vMerge w:val="restart"/>
          </w:tcPr>
          <w:p>
            <w:pPr>
              <w:jc w:val="right"/>
              <w:ind w:right="920"/>
              <w:spacing w:after="0"/>
              <w:rPr>
                <w:sz w:val="20"/>
                <w:szCs w:val="20"/>
                <w:color w:val="auto"/>
              </w:rPr>
            </w:pPr>
            <w:r>
              <w:rPr>
                <w:rFonts w:ascii="Arial" w:cs="Arial" w:eastAsia="Arial" w:hAnsi="Arial"/>
                <w:sz w:val="14"/>
                <w:szCs w:val="14"/>
                <w:b w:val="1"/>
                <w:bCs w:val="1"/>
                <w:color w:val="auto"/>
              </w:rPr>
              <w:t>Increase</w:t>
            </w: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jc w:val="right"/>
              <w:ind w:right="700"/>
              <w:spacing w:after="0" w:line="133" w:lineRule="exact"/>
              <w:rPr>
                <w:sz w:val="20"/>
                <w:szCs w:val="20"/>
                <w:color w:val="auto"/>
              </w:rPr>
            </w:pPr>
            <w:r>
              <w:rPr>
                <w:rFonts w:ascii="Arial" w:cs="Arial" w:eastAsia="Arial" w:hAnsi="Arial"/>
                <w:sz w:val="14"/>
                <w:szCs w:val="14"/>
                <w:b w:val="1"/>
                <w:bCs w:val="1"/>
                <w:color w:val="auto"/>
              </w:rPr>
              <w:t>April 3,</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ind w:right="134"/>
              <w:spacing w:after="0" w:line="133" w:lineRule="exact"/>
              <w:rPr>
                <w:sz w:val="20"/>
                <w:szCs w:val="20"/>
                <w:color w:val="auto"/>
              </w:rPr>
            </w:pPr>
            <w:r>
              <w:rPr>
                <w:rFonts w:ascii="Arial" w:cs="Arial" w:eastAsia="Arial" w:hAnsi="Arial"/>
                <w:sz w:val="14"/>
                <w:szCs w:val="14"/>
                <w:b w:val="1"/>
                <w:bCs w:val="1"/>
                <w:color w:val="auto"/>
                <w:w w:val="99"/>
              </w:rPr>
              <w:t>March 29,</w:t>
            </w: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3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295"/>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314"/>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4"/>
              </w:rPr>
              <w:t>(Decrease)</w:t>
            </w: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60"/>
              <w:spacing w:after="0"/>
              <w:rPr>
                <w:sz w:val="20"/>
                <w:szCs w:val="20"/>
                <w:color w:val="auto"/>
              </w:rPr>
            </w:pPr>
            <w:r>
              <w:rPr>
                <w:rFonts w:ascii="Arial" w:cs="Arial" w:eastAsia="Arial" w:hAnsi="Arial"/>
                <w:sz w:val="18"/>
                <w:szCs w:val="18"/>
                <w:color w:val="auto"/>
              </w:rPr>
              <w:t>Wholesale</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143,080</w:t>
            </w: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166,016</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(22,936)</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Retail</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55,717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30,707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25,010</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60"/>
              <w:spacing w:after="0"/>
              <w:rPr>
                <w:sz w:val="20"/>
                <w:szCs w:val="20"/>
                <w:color w:val="auto"/>
              </w:rPr>
            </w:pPr>
            <w:r>
              <w:rPr>
                <w:rFonts w:ascii="Arial" w:cs="Arial" w:eastAsia="Arial" w:hAnsi="Arial"/>
                <w:sz w:val="18"/>
                <w:szCs w:val="18"/>
                <w:color w:val="auto"/>
              </w:rPr>
              <w:t>Licensing</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191,575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200,189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(8,614)</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390,372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396,912</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(6,540)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37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Less: Unallocated Corporate expense</w:t>
            </w: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(99,915)</w:t>
            </w: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(91,614)</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3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3720" w:type="dxa"/>
            <w:vAlign w:val="bottom"/>
            <w:gridSpan w:val="2"/>
            <w:vMerge w:val="continue"/>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(8,301)</w:t>
            </w:r>
          </w:p>
        </w:tc>
        <w:tc>
          <w:tcPr>
            <w:tcW w:w="66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Unallocated restructuring charge</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(19,566)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(14,443)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270,891</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290,855</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00" w:firstLine="270"/>
        <w:spacing w:after="0" w:line="264" w:lineRule="auto"/>
        <w:rPr>
          <w:sz w:val="20"/>
          <w:szCs w:val="20"/>
          <w:color w:val="auto"/>
        </w:rPr>
      </w:pPr>
      <w:r>
        <w:rPr>
          <w:rFonts w:ascii="Arial" w:cs="Arial" w:eastAsia="Arial" w:hAnsi="Arial"/>
          <w:sz w:val="18"/>
          <w:szCs w:val="18"/>
          <w:b w:val="1"/>
          <w:bCs w:val="1"/>
          <w:i w:val="1"/>
          <w:iCs w:val="1"/>
          <w:color w:val="auto"/>
        </w:rPr>
        <w:t xml:space="preserve">Wholesale operating income </w:t>
      </w:r>
      <w:r>
        <w:rPr>
          <w:rFonts w:ascii="Arial" w:cs="Arial" w:eastAsia="Arial" w:hAnsi="Arial"/>
          <w:sz w:val="18"/>
          <w:szCs w:val="18"/>
          <w:color w:val="auto"/>
        </w:rPr>
        <w:t>decreased primarily as a result of decreased net sales in our domestic mens business and European wholesale operations.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incremental effect of Lauren sales in the fourth quarter on our wholesale business’ income from operations was largely offset by start up and ordinary operating expenses associated with the Lauren wholesale business.</w:t>
      </w:r>
    </w:p>
    <w:p>
      <w:pPr>
        <w:spacing w:after="0" w:line="73" w:lineRule="exact"/>
        <w:rPr>
          <w:sz w:val="20"/>
          <w:szCs w:val="20"/>
          <w:color w:val="auto"/>
        </w:rPr>
      </w:pPr>
    </w:p>
    <w:p>
      <w:pPr>
        <w:ind w:right="80" w:firstLine="270"/>
        <w:spacing w:after="0" w:line="342" w:lineRule="auto"/>
        <w:rPr>
          <w:sz w:val="20"/>
          <w:szCs w:val="20"/>
          <w:color w:val="auto"/>
        </w:rPr>
      </w:pPr>
      <w:r>
        <w:rPr>
          <w:rFonts w:ascii="Arial" w:cs="Arial" w:eastAsia="Arial" w:hAnsi="Arial"/>
          <w:sz w:val="16"/>
          <w:szCs w:val="16"/>
          <w:b w:val="1"/>
          <w:bCs w:val="1"/>
          <w:i w:val="1"/>
          <w:iCs w:val="1"/>
          <w:color w:val="auto"/>
        </w:rPr>
        <w:t xml:space="preserve">Retail operating income </w:t>
      </w:r>
      <w:r>
        <w:rPr>
          <w:rFonts w:ascii="Arial" w:cs="Arial" w:eastAsia="Arial" w:hAnsi="Arial"/>
          <w:sz w:val="16"/>
          <w:szCs w:val="16"/>
          <w:color w:val="auto"/>
        </w:rPr>
        <w:t>increased primarily as a result of increased net sales and improved gross profits as a percentage of net revenues. These increases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were partially offset by the increase in selling salaries and related costs in connection with the increase in retail sales and worldwide store expansion.</w:t>
      </w:r>
    </w:p>
    <w:p>
      <w:pPr>
        <w:spacing w:after="0" w:line="16" w:lineRule="exact"/>
        <w:rPr>
          <w:sz w:val="20"/>
          <w:szCs w:val="20"/>
          <w:color w:val="auto"/>
        </w:rPr>
      </w:pPr>
    </w:p>
    <w:p>
      <w:pPr>
        <w:ind w:right="180" w:firstLine="270"/>
        <w:spacing w:after="0" w:line="277" w:lineRule="auto"/>
        <w:rPr>
          <w:sz w:val="20"/>
          <w:szCs w:val="20"/>
          <w:color w:val="auto"/>
        </w:rPr>
      </w:pPr>
      <w:r>
        <w:rPr>
          <w:rFonts w:ascii="Arial" w:cs="Arial" w:eastAsia="Arial" w:hAnsi="Arial"/>
          <w:sz w:val="18"/>
          <w:szCs w:val="18"/>
          <w:b w:val="1"/>
          <w:bCs w:val="1"/>
          <w:i w:val="1"/>
          <w:iCs w:val="1"/>
          <w:color w:val="auto"/>
        </w:rPr>
        <w:t xml:space="preserve">Licensing income </w:t>
      </w:r>
      <w:r>
        <w:rPr>
          <w:rFonts w:ascii="Arial" w:cs="Arial" w:eastAsia="Arial" w:hAnsi="Arial"/>
          <w:sz w:val="18"/>
          <w:szCs w:val="18"/>
          <w:color w:val="auto"/>
        </w:rPr>
        <w:t>decreased primarily due to the loss of the Lauren and Ralph royalties from Jones. This decrease was partially offset by improvements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footwear business and by the inclusion of the operations of the Japanese Master License.</w:t>
      </w:r>
    </w:p>
    <w:p>
      <w:pPr>
        <w:spacing w:after="0" w:line="62" w:lineRule="exact"/>
        <w:rPr>
          <w:sz w:val="20"/>
          <w:szCs w:val="20"/>
          <w:color w:val="auto"/>
        </w:rPr>
      </w:pPr>
    </w:p>
    <w:p>
      <w:pPr>
        <w:ind w:right="120" w:firstLine="270"/>
        <w:spacing w:after="0" w:line="293" w:lineRule="auto"/>
        <w:rPr>
          <w:sz w:val="20"/>
          <w:szCs w:val="20"/>
          <w:color w:val="auto"/>
        </w:rPr>
      </w:pPr>
      <w:r>
        <w:rPr>
          <w:rFonts w:ascii="Arial" w:cs="Arial" w:eastAsia="Arial" w:hAnsi="Arial"/>
          <w:sz w:val="16"/>
          <w:szCs w:val="16"/>
          <w:i w:val="1"/>
          <w:iCs w:val="1"/>
          <w:color w:val="auto"/>
        </w:rPr>
        <w:t xml:space="preserve">Foreign Currency (Gains) Losses. </w:t>
      </w:r>
      <w:r>
        <w:rPr>
          <w:rFonts w:ascii="Arial" w:cs="Arial" w:eastAsia="Arial" w:hAnsi="Arial"/>
          <w:sz w:val="16"/>
          <w:szCs w:val="16"/>
          <w:color w:val="auto"/>
        </w:rPr>
        <w:t>The effect of foreign currency exchange rate fluctuations resulted in a loss of $1.9 million during Fiscal 2004,</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a $0.5 million loss during Fiscal 2003. These losses primarily related to transaction losses on unhedged inventory purchases and royalty payments in Europe resulting from increases in the value of the Euro compared to the dollar. These losses are unrelated to the impact of changes in the value of the dollar when operating results of our foreign subsidiaries are converted to U.S. dollars. In the prior period, these losses primarily related to transaction losses on the unhedged portion of our Euro denominated debt caused by appreciation of the Euro until we entered into the cross currency swap in June 2002, which were partially offset by $1.3 million of gains recorded on the Japanese forward contracts that we entered into in November of 2002.</w:t>
      </w:r>
    </w:p>
    <w:p>
      <w:pPr>
        <w:spacing w:after="0" w:line="57"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to $10.0 million in Fiscal 2004 from $13.5 million for Fiscal 2003. This decrease was due to the repayment</w:t>
      </w:r>
      <w:r>
        <w:rPr>
          <w:rFonts w:ascii="Arial" w:cs="Arial" w:eastAsia="Arial" w:hAnsi="Arial"/>
          <w:sz w:val="18"/>
          <w:szCs w:val="18"/>
          <w:i w:val="1"/>
          <w:iCs w:val="1"/>
          <w:color w:val="auto"/>
        </w:rPr>
        <w:t xml:space="preserve"> </w:t>
      </w:r>
      <w:r>
        <w:rPr>
          <w:rFonts w:ascii="Arial" w:cs="Arial" w:eastAsia="Arial" w:hAnsi="Arial"/>
          <w:sz w:val="18"/>
          <w:szCs w:val="18"/>
          <w:color w:val="auto"/>
        </w:rPr>
        <w:t>of approximately $100.0 million of short-term borrowings during Fiscal 2004, as well as decreased interest rates as a result of the May 2003 interest rate swap described in “Liquidity and Capital Resources — Commitments — Derivative Instruments.”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effective tax rate was 36.2% for Fiscal 2004 compared to 36.5% for Fiscal 2003.</w:t>
      </w:r>
    </w:p>
    <w:p>
      <w:pPr>
        <w:spacing w:after="0" w:line="117" w:lineRule="exact"/>
        <w:rPr>
          <w:sz w:val="20"/>
          <w:szCs w:val="20"/>
          <w:color w:val="auto"/>
        </w:rPr>
      </w:pPr>
    </w:p>
    <w:p>
      <w:pPr>
        <w:ind w:right="340" w:firstLine="270"/>
        <w:spacing w:after="0" w:line="259"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was $(4.1) million for Fiscal 2004. This reflects $5.5 million of income related to the 20%</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interest in the company that holds the sublicenses for the Polo Ralph Lauren men’s, women’s and jeans business in Japan, net of $1.4 million of minority interest expense associated with our Japanese master license, both of which were acquired in February 2003 (except for the additional 2% equity interest in the entity that holds the sublicenses that we acquired in May 2003).</w:t>
      </w:r>
    </w:p>
    <w:p>
      <w:pPr>
        <w:spacing w:after="0" w:line="79" w:lineRule="exact"/>
        <w:rPr>
          <w:sz w:val="20"/>
          <w:szCs w:val="20"/>
          <w:color w:val="auto"/>
        </w:rPr>
      </w:pPr>
    </w:p>
    <w:p>
      <w:pPr>
        <w:jc w:val="both"/>
        <w:ind w:right="60" w:firstLine="270"/>
        <w:spacing w:after="0" w:line="259"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decreased for Fiscal 2004 to $169.2 million from $175.7 million for Fiscal 2003, or 6.4% and 7.2% of net revenues,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per share on a fully diluted basis decreased by $0.09 to $1.68 per share as a result of the decrease in net income for the reasons previously discussed and an increase in diluted shares outstanding of 1.7 million due to the exercise of stock options, a higher average stock price and the award of restricted stock units to executives.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firstLine="270"/>
        <w:spacing w:after="0" w:line="276" w:lineRule="auto"/>
        <w:rPr>
          <w:sz w:val="20"/>
          <w:szCs w:val="20"/>
          <w:color w:val="auto"/>
        </w:rPr>
      </w:pPr>
      <w:r>
        <w:rPr>
          <w:rFonts w:ascii="Arial" w:cs="Arial" w:eastAsia="Arial" w:hAnsi="Arial"/>
          <w:sz w:val="17"/>
          <w:szCs w:val="17"/>
          <w:color w:val="auto"/>
        </w:rPr>
        <w:t>Our primary ongoing cash requirements are to fund growth in working capital (primarily accounts receivable and inventory) to support projected sales increases, acquisitions, construction and renovation of shop-within-shops, investment in the technological upgrading of our distribution centers and information systems, expenditures related to retail store expansion, acquisitions, dividends, and other corporate activities. Sources of liquidity to fund ongoing and future cash requirements include cash flows from operations, cash and cash equivalents, credit facilities and other borrowings. We anticipate funding the approximately $110 million purchase price of the pending Footwear Business through the use of our cash and cash equivalents.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Fiscal 2005 Compared to Fiscal 2004</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We ended Fiscal 2005 with $350.5 million in cash and cash equivalents and $291.0 million of debt outstanding compared to $352.3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$277.3 million of cash and cash equivalents and debt outstanding, respectively, at April 3, 2004. This represents a $15.5 million decrease in our cash net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debt position over the last twelve months which is primarily attributable to the following factors: the use of $241.9 million of cash to purchase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Childrenswear business and an increase in Euro debt of $13.6 million as a result of the strengthening of the Euro, partially offset by increased cash flow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operations and increased proceeds received from the exercise of stock options. Additionally, capital expenditures were $174.1 million for Fiscal 2005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compared to $126.3 million in Fiscal 2004.</w:t>
      </w:r>
    </w:p>
    <w:p>
      <w:pPr>
        <w:spacing w:after="0" w:line="103" w:lineRule="exact"/>
        <w:rPr>
          <w:sz w:val="20"/>
          <w:szCs w:val="20"/>
          <w:color w:val="auto"/>
        </w:rPr>
      </w:pPr>
    </w:p>
    <w:p>
      <w:pPr>
        <w:ind w:right="100" w:firstLine="260"/>
        <w:spacing w:after="0" w:line="259" w:lineRule="auto"/>
        <w:rPr>
          <w:sz w:val="20"/>
          <w:szCs w:val="20"/>
          <w:color w:val="auto"/>
        </w:rPr>
      </w:pPr>
      <w:r>
        <w:rPr>
          <w:rFonts w:ascii="Arial" w:cs="Arial" w:eastAsia="Arial" w:hAnsi="Arial"/>
          <w:sz w:val="18"/>
          <w:szCs w:val="18"/>
          <w:color w:val="auto"/>
        </w:rPr>
        <w:t>As of April 2, 2005, we had $291.0 million outstanding in long-term Euro debt based on the year-end Euro exchange rate, an increase of $13.6 million from Fiscal 2004. The increase was entirely due to changes in the Euro to Dollar exchange rate. We were also contingently liable for $29.8 million in outstanding letters of credit primarily related to commitments for the purchase of inventory. The weighted-average interest rate on our borrowings at April 2, 2005 was 3.4%.</w:t>
      </w:r>
    </w:p>
    <w:p>
      <w:pPr>
        <w:spacing w:after="0" w:line="79" w:lineRule="exact"/>
        <w:rPr>
          <w:sz w:val="20"/>
          <w:szCs w:val="20"/>
          <w:color w:val="auto"/>
        </w:rPr>
      </w:pPr>
    </w:p>
    <w:p>
      <w:pPr>
        <w:jc w:val="both"/>
        <w:ind w:firstLine="260"/>
        <w:spacing w:after="0" w:line="264" w:lineRule="auto"/>
        <w:rPr>
          <w:sz w:val="20"/>
          <w:szCs w:val="20"/>
          <w:color w:val="auto"/>
        </w:rPr>
      </w:pPr>
      <w:r>
        <w:rPr>
          <w:rFonts w:ascii="Arial" w:cs="Arial" w:eastAsia="Arial" w:hAnsi="Arial"/>
          <w:sz w:val="18"/>
          <w:szCs w:val="18"/>
          <w:color w:val="auto"/>
        </w:rPr>
        <w:t>Accounts receivable increased $14.0 million primarily as a result of the inclusion in Fiscal 2005 $30.4 million in Childrenswear accounts receivable and a $7.4 million impact of the strengthening Euro, partially offset by decreases in accounts receivable in our Lauren and men’s divisions resulting from the timing of payments.</w:t>
      </w:r>
    </w:p>
    <w:p>
      <w:pPr>
        <w:spacing w:after="0" w:line="73" w:lineRule="exact"/>
        <w:rPr>
          <w:sz w:val="20"/>
          <w:szCs w:val="20"/>
          <w:color w:val="auto"/>
        </w:rPr>
      </w:pPr>
    </w:p>
    <w:p>
      <w:pPr>
        <w:ind w:right="520" w:firstLine="270"/>
        <w:spacing w:after="0" w:line="264" w:lineRule="auto"/>
        <w:rPr>
          <w:sz w:val="20"/>
          <w:szCs w:val="20"/>
          <w:color w:val="auto"/>
        </w:rPr>
      </w:pPr>
      <w:r>
        <w:rPr>
          <w:rFonts w:ascii="Arial" w:cs="Arial" w:eastAsia="Arial" w:hAnsi="Arial"/>
          <w:sz w:val="18"/>
          <w:szCs w:val="18"/>
          <w:color w:val="auto"/>
        </w:rPr>
        <w:t>Inventories increased $56.9 million in Fiscal 2005. The inception of the Childrenswear line was responsible for a $23.4 million increase, our men’s business had an increase in inventory of $17.8 million, primarily as a result of increased summer bookings. The strengthening of the Euro caused a $6.7 million increase in inventory.</w:t>
      </w:r>
    </w:p>
    <w:p>
      <w:pPr>
        <w:spacing w:after="0" w:line="73" w:lineRule="exact"/>
        <w:rPr>
          <w:sz w:val="20"/>
          <w:szCs w:val="20"/>
          <w:color w:val="auto"/>
        </w:rPr>
      </w:pPr>
    </w:p>
    <w:p>
      <w:pPr>
        <w:ind w:right="180" w:firstLine="260"/>
        <w:spacing w:after="0" w:line="277" w:lineRule="auto"/>
        <w:rPr>
          <w:sz w:val="20"/>
          <w:szCs w:val="20"/>
          <w:color w:val="auto"/>
        </w:rPr>
      </w:pPr>
      <w:r>
        <w:rPr>
          <w:rFonts w:ascii="Arial" w:cs="Arial" w:eastAsia="Arial" w:hAnsi="Arial"/>
          <w:sz w:val="18"/>
          <w:szCs w:val="18"/>
          <w:color w:val="auto"/>
        </w:rPr>
        <w:t>Accounts payable decreased $4.5 million compared to Fiscal 2004 primarily as result of a $12.7 million decrease in our Lauren business, partially offset by increases in other areas.</w:t>
      </w:r>
    </w:p>
    <w:p>
      <w:pPr>
        <w:spacing w:after="0" w:line="62" w:lineRule="exact"/>
        <w:rPr>
          <w:sz w:val="20"/>
          <w:szCs w:val="20"/>
          <w:color w:val="auto"/>
        </w:rPr>
      </w:pPr>
    </w:p>
    <w:p>
      <w:pPr>
        <w:ind w:right="440" w:firstLine="260"/>
        <w:spacing w:after="0" w:line="308" w:lineRule="auto"/>
        <w:rPr>
          <w:sz w:val="20"/>
          <w:szCs w:val="20"/>
          <w:color w:val="auto"/>
        </w:rPr>
      </w:pPr>
      <w:r>
        <w:rPr>
          <w:rFonts w:ascii="Arial" w:cs="Arial" w:eastAsia="Arial" w:hAnsi="Arial"/>
          <w:sz w:val="17"/>
          <w:szCs w:val="17"/>
          <w:color w:val="auto"/>
        </w:rPr>
        <w:t>Accrued expenses increased $129.1 million from Fiscal 2004, primarily as a result of the accrual of $100.0 million for a reserve relating to the Jones litigation as well as the addition of the Childrenswear label and increases in Europe due to the timing of year end invoice receipts.</w:t>
      </w:r>
    </w:p>
    <w:p>
      <w:pPr>
        <w:spacing w:after="0" w:line="38" w:lineRule="exact"/>
        <w:rPr>
          <w:sz w:val="20"/>
          <w:szCs w:val="20"/>
          <w:color w:val="auto"/>
        </w:rPr>
      </w:pPr>
    </w:p>
    <w:p>
      <w:pPr>
        <w:ind w:right="560" w:firstLine="270"/>
        <w:spacing w:after="0" w:line="342" w:lineRule="auto"/>
        <w:rPr>
          <w:sz w:val="20"/>
          <w:szCs w:val="20"/>
          <w:color w:val="auto"/>
        </w:rPr>
      </w:pPr>
      <w:r>
        <w:rPr>
          <w:rFonts w:ascii="Arial" w:cs="Arial" w:eastAsia="Arial" w:hAnsi="Arial"/>
          <w:sz w:val="16"/>
          <w:szCs w:val="16"/>
          <w:i w:val="1"/>
          <w:iCs w:val="1"/>
          <w:color w:val="auto"/>
        </w:rPr>
        <w:t xml:space="preserve">Net Cash Provided by Operating Activities. </w:t>
      </w:r>
      <w:r>
        <w:rPr>
          <w:rFonts w:ascii="Arial" w:cs="Arial" w:eastAsia="Arial" w:hAnsi="Arial"/>
          <w:sz w:val="16"/>
          <w:szCs w:val="16"/>
          <w:color w:val="auto"/>
        </w:rPr>
        <w:t>Net cash provided by operating activities increased to $382.0 million during Fiscal 2005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$213.6 million in Fiscal 2004. This $168.4 million increase in cash flow was driven primarily by the year-over-year increases in sales and gross profit.</w:t>
      </w:r>
    </w:p>
    <w:p>
      <w:pPr>
        <w:spacing w:after="0" w:line="16" w:lineRule="exact"/>
        <w:rPr>
          <w:sz w:val="20"/>
          <w:szCs w:val="20"/>
          <w:color w:val="auto"/>
        </w:rPr>
      </w:pPr>
    </w:p>
    <w:p>
      <w:pPr>
        <w:ind w:right="40" w:firstLine="270"/>
        <w:spacing w:after="0" w:line="279" w:lineRule="auto"/>
        <w:rPr>
          <w:sz w:val="20"/>
          <w:szCs w:val="20"/>
          <w:color w:val="auto"/>
        </w:rPr>
      </w:pPr>
      <w:r>
        <w:rPr>
          <w:rFonts w:ascii="Arial" w:cs="Arial" w:eastAsia="Arial" w:hAnsi="Arial"/>
          <w:sz w:val="17"/>
          <w:szCs w:val="17"/>
          <w:color w:val="auto"/>
        </w:rPr>
        <w:t>During Fiscal 2003, we completed a strategic review of our European business and formalized our plans to centralize and more efficiently consolidate our business operations. In connection with the implementation of this plan, we had total cash outlays of approximately $6.2 million during the year ended April 2, 2005. We also had cash outlays of $2.4 million during Fiscal 2005 in connection with our 2001 restructuring plan, primarily related to lease termination costs. It is expected that the remaining liabilities of both plans will be paid accordance with contract terms.</w:t>
      </w:r>
    </w:p>
    <w:p>
      <w:pPr>
        <w:spacing w:after="0" w:line="63" w:lineRule="exact"/>
        <w:rPr>
          <w:sz w:val="20"/>
          <w:szCs w:val="20"/>
          <w:color w:val="auto"/>
        </w:rPr>
      </w:pPr>
    </w:p>
    <w:p>
      <w:pPr>
        <w:ind w:right="180" w:firstLine="270"/>
        <w:spacing w:after="0" w:line="259" w:lineRule="auto"/>
        <w:rPr>
          <w:sz w:val="20"/>
          <w:szCs w:val="20"/>
          <w:color w:val="auto"/>
        </w:rPr>
      </w:pPr>
      <w:r>
        <w:rPr>
          <w:rFonts w:ascii="Arial" w:cs="Arial" w:eastAsia="Arial" w:hAnsi="Arial"/>
          <w:sz w:val="18"/>
          <w:szCs w:val="18"/>
          <w:i w:val="1"/>
          <w:iCs w:val="1"/>
          <w:color w:val="auto"/>
        </w:rPr>
        <w:t xml:space="preserve">Net Cash Used in Investing Activities. </w:t>
      </w:r>
      <w:r>
        <w:rPr>
          <w:rFonts w:ascii="Arial" w:cs="Arial" w:eastAsia="Arial" w:hAnsi="Arial"/>
          <w:sz w:val="18"/>
          <w:szCs w:val="18"/>
          <w:color w:val="auto"/>
        </w:rPr>
        <w:t>Net cash used in investing activities was $417.4 million in Fiscal 2005, as compared to $134.5 million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2004. Both the Fiscal 2005 and Fiscal 2004 net cash used primarily reflected capital expenditures related to retail expansion and upgrading our systems and facilities, as well as shop-within-shop expenditures. The Fiscal 2005 net cash used also reflects $241.9 million for the purchase of our Childrenswear business. Our anticipated capital expenditures for Fiscal 2006 approximate $175 million.</w:t>
      </w:r>
    </w:p>
    <w:p>
      <w:pPr>
        <w:spacing w:after="0" w:line="79" w:lineRule="exact"/>
        <w:rPr>
          <w:sz w:val="20"/>
          <w:szCs w:val="20"/>
          <w:color w:val="auto"/>
        </w:rPr>
      </w:pPr>
    </w:p>
    <w:p>
      <w:pPr>
        <w:ind w:right="80" w:firstLine="270"/>
        <w:spacing w:after="0" w:line="291" w:lineRule="auto"/>
        <w:rPr>
          <w:sz w:val="20"/>
          <w:szCs w:val="20"/>
          <w:color w:val="auto"/>
        </w:rPr>
      </w:pPr>
      <w:r>
        <w:rPr>
          <w:rFonts w:ascii="Arial" w:cs="Arial" w:eastAsia="Arial" w:hAnsi="Arial"/>
          <w:sz w:val="16"/>
          <w:szCs w:val="16"/>
          <w:i w:val="1"/>
          <w:iCs w:val="1"/>
          <w:color w:val="auto"/>
        </w:rPr>
        <w:t xml:space="preserve">Net Cash Provided by Financing Activities. </w:t>
      </w:r>
      <w:r>
        <w:rPr>
          <w:rFonts w:ascii="Arial" w:cs="Arial" w:eastAsia="Arial" w:hAnsi="Arial"/>
          <w:sz w:val="16"/>
          <w:szCs w:val="16"/>
          <w:color w:val="auto"/>
        </w:rPr>
        <w:t>Net cash provided by financing activities was $31.5 million in Fiscal 2005 compared to $76.4 million used in</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2004. Cash provided by financing activities during Fiscal 2005, consisted of the payment of $21.7 million in dividends, offset by proceeds of</w:t>
      </w:r>
    </w:p>
    <w:p>
      <w:pPr>
        <w:ind w:right="900"/>
        <w:spacing w:after="0" w:line="323" w:lineRule="auto"/>
        <w:rPr>
          <w:sz w:val="20"/>
          <w:szCs w:val="20"/>
          <w:color w:val="auto"/>
        </w:rPr>
      </w:pPr>
      <w:r>
        <w:rPr>
          <w:rFonts w:ascii="Arial" w:cs="Arial" w:eastAsia="Arial" w:hAnsi="Arial"/>
          <w:sz w:val="16"/>
          <w:szCs w:val="16"/>
          <w:color w:val="auto"/>
        </w:rPr>
        <w:t>$54.3 million from the exercise of stock options. Cash used during Fiscal 2004 primarily consisted of net repayment of short-term borrowings of $100.9 million and the payment of $14.8 million in dividends, partially offset by the $40.4 million of proceeds from the exercise of stock options.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Fiscal 2004 Compared to Fiscal 2003</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We ended Fiscal 2004 with $352.3 million in cash and cash equivalents and $277.3 million of debt outstanding compared to $343.6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$349.4 million of cash and cash equivalents and debt outstanding, respectively, at March 29, 2003. This represents a $80.8 million increase in our cash net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debt position over the last twelve months which is primarily attributable to the following factors: (i) reduced spending on acquisitions and investments,</w:t>
      </w:r>
    </w:p>
    <w:p>
      <w:pPr>
        <w:spacing w:after="0" w:line="21" w:lineRule="exact"/>
        <w:rPr>
          <w:sz w:val="20"/>
          <w:szCs w:val="20"/>
          <w:color w:val="auto"/>
        </w:rPr>
      </w:pPr>
    </w:p>
    <w:p>
      <w:pPr>
        <w:ind w:right="40" w:firstLine="8"/>
        <w:spacing w:after="0" w:line="255" w:lineRule="auto"/>
        <w:tabs>
          <w:tab w:leader="none" w:pos="26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proceeds received from the exercise of stock options, (iii) partially offset by reduced cash flows from operations and an increase in Euro debt of $28.9 million as a result of the strengthening of the Euro. Additionally, capital expenditures were $126.3 million for Fiscal 2004 compared to $102.4 million in Fiscal 2003.</w:t>
      </w:r>
    </w:p>
    <w:p>
      <w:pPr>
        <w:spacing w:after="0" w:line="82" w:lineRule="exact"/>
        <w:rPr>
          <w:sz w:val="20"/>
          <w:szCs w:val="20"/>
          <w:color w:val="auto"/>
        </w:rPr>
      </w:pPr>
    </w:p>
    <w:p>
      <w:pPr>
        <w:ind w:right="100" w:firstLine="260"/>
        <w:spacing w:after="0" w:line="259" w:lineRule="auto"/>
        <w:rPr>
          <w:sz w:val="20"/>
          <w:szCs w:val="20"/>
          <w:color w:val="auto"/>
        </w:rPr>
      </w:pPr>
      <w:r>
        <w:rPr>
          <w:rFonts w:ascii="Arial" w:cs="Arial" w:eastAsia="Arial" w:hAnsi="Arial"/>
          <w:sz w:val="18"/>
          <w:szCs w:val="18"/>
          <w:color w:val="auto"/>
        </w:rPr>
        <w:t>As of April 3, 2004, we had $277.3 million outstanding in long-term Euro debt based on the year-end Euro exchange rate, an increase of $28.9 million from Fiscal 2003. The increase was entirely due to changes in the Euro to Dollar exchange rate. We were also contingently liable for $35.3 million in outstanding letters of credit primarily related to commitments for the purchase of inventory. The weighted-average interest rate on our borrowings at April 2, 2005 was 3.8%.</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Accounts receivable increased $65.9 million primarily as a result of the inception of sales under the Lauren label and the strengthening of the Euro.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$86.5 million of the increase was due to Lauren and $13.2 million was due to the change in the value of the Euro. These increases were partially offset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decreases in accounts receivable in our other wholesale divisions resulting from sales decreases and the timing of payments.</w:t>
      </w:r>
    </w:p>
    <w:p>
      <w:pPr>
        <w:spacing w:after="0" w:line="103"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Inventories decreased $9.4 million in Fiscal 2004. The inception of the Lauren line was responsible for a $34.1 million increase and the strengthening of the Euro caused a $14.3 million increase in inventory. These increases were more than offset by reductions in inventory in our retail and Men’s wholesale business as a result of improvements in our supply chain forecasting and management and reduced inventory requirements in our men’s business as a result of planned reductions in sales.</w:t>
      </w:r>
    </w:p>
    <w:p>
      <w:pPr>
        <w:spacing w:after="0" w:line="79"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Other current assets increased $34.7 million from Fiscal 2003 primarily as a result of increases in European Value Added Tax receivables and the effect of the timing of the fiscal year end on prepaid items.</w:t>
      </w:r>
    </w:p>
    <w:p>
      <w:pPr>
        <w:spacing w:after="0" w:line="62" w:lineRule="exact"/>
        <w:rPr>
          <w:sz w:val="20"/>
          <w:szCs w:val="20"/>
          <w:color w:val="auto"/>
        </w:rPr>
      </w:pPr>
    </w:p>
    <w:p>
      <w:pPr>
        <w:ind w:right="20" w:firstLine="260"/>
        <w:spacing w:after="0" w:line="277" w:lineRule="auto"/>
        <w:rPr>
          <w:sz w:val="20"/>
          <w:szCs w:val="20"/>
          <w:color w:val="auto"/>
        </w:rPr>
      </w:pPr>
      <w:r>
        <w:rPr>
          <w:rFonts w:ascii="Arial" w:cs="Arial" w:eastAsia="Arial" w:hAnsi="Arial"/>
          <w:sz w:val="18"/>
          <w:szCs w:val="18"/>
          <w:color w:val="auto"/>
        </w:rPr>
        <w:t>Accounts payable increased $7.5 million compared to Fiscal 2003 primarily as result of the addition of the Lauren line partially offset by reductions in our men’s line due to a decrease in inventory purchases and reductions in Europe due to the timing of year end invoice receipts.</w:t>
      </w:r>
    </w:p>
    <w:p>
      <w:pPr>
        <w:spacing w:after="0" w:line="62" w:lineRule="exact"/>
        <w:rPr>
          <w:sz w:val="20"/>
          <w:szCs w:val="20"/>
          <w:color w:val="auto"/>
        </w:rPr>
      </w:pPr>
    </w:p>
    <w:p>
      <w:pPr>
        <w:ind w:firstLine="260"/>
        <w:spacing w:after="0" w:line="277" w:lineRule="auto"/>
        <w:rPr>
          <w:sz w:val="20"/>
          <w:szCs w:val="20"/>
          <w:color w:val="auto"/>
        </w:rPr>
      </w:pPr>
      <w:r>
        <w:rPr>
          <w:rFonts w:ascii="Arial" w:cs="Arial" w:eastAsia="Arial" w:hAnsi="Arial"/>
          <w:sz w:val="18"/>
          <w:szCs w:val="18"/>
          <w:color w:val="auto"/>
        </w:rPr>
        <w:t>Accrued expenses increased $80.6 million primarily as a result of the addition of the Lauren line, increases in the European Value Added Tax payable, and increases in Europe due to the timing of year end invoice receipts.</w:t>
      </w:r>
    </w:p>
    <w:p>
      <w:pPr>
        <w:spacing w:after="0" w:line="62" w:lineRule="exact"/>
        <w:rPr>
          <w:sz w:val="20"/>
          <w:szCs w:val="20"/>
          <w:color w:val="auto"/>
        </w:rPr>
      </w:pPr>
    </w:p>
    <w:p>
      <w:pPr>
        <w:ind w:right="400" w:firstLine="270"/>
        <w:spacing w:after="0" w:line="264"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Net cash provided by operating activities decreased to $213.6 million during Fiscal 2004,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$286.2 million in Fiscal 2003. This $72.6 million decrease in cash flow was driven primarily by the year-over-year changes in working capital described above and the decrease in net income of $6.5 million.</w:t>
      </w:r>
    </w:p>
    <w:p>
      <w:pPr>
        <w:spacing w:after="0" w:line="73"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color w:val="auto"/>
        </w:rPr>
        <w:t>During Fiscal 2003, we completed a strategic review of our European business and formalized our plans to centralize and more efficiently consolidate its business operations. In connection with the implementation of this plan, we had total cash outlays of approximately $13.3 million during the year ended April 3, 2004. We also had cash outlays of $8.3 million during Fiscal 2004 in connection with our 2001 restructuring plan, primarily related to lease termination costs.</w:t>
      </w:r>
    </w:p>
    <w:p>
      <w:pPr>
        <w:spacing w:after="0" w:line="79" w:lineRule="exact"/>
        <w:rPr>
          <w:sz w:val="20"/>
          <w:szCs w:val="20"/>
          <w:color w:val="auto"/>
        </w:rPr>
      </w:pPr>
    </w:p>
    <w:p>
      <w:pPr>
        <w:ind w:right="80" w:firstLine="270"/>
        <w:spacing w:after="0" w:line="297" w:lineRule="auto"/>
        <w:rPr>
          <w:sz w:val="20"/>
          <w:szCs w:val="20"/>
          <w:color w:val="auto"/>
        </w:rPr>
      </w:pPr>
      <w:r>
        <w:rPr>
          <w:rFonts w:ascii="Arial" w:cs="Arial" w:eastAsia="Arial" w:hAnsi="Arial"/>
          <w:sz w:val="16"/>
          <w:szCs w:val="16"/>
          <w:i w:val="1"/>
          <w:iCs w:val="1"/>
          <w:color w:val="auto"/>
        </w:rPr>
        <w:t xml:space="preserve">Net Cash Used in Investing Activities. </w:t>
      </w:r>
      <w:r>
        <w:rPr>
          <w:rFonts w:ascii="Arial" w:cs="Arial" w:eastAsia="Arial" w:hAnsi="Arial"/>
          <w:sz w:val="16"/>
          <w:szCs w:val="16"/>
          <w:color w:val="auto"/>
        </w:rPr>
        <w:t>Net cash used in investing activities was $134.5 million in Fiscal 2004, as compared to $183.5 million in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2003. Both the Fiscal 2004 and Fiscal 2003 net cash used primarily reflected capital expenditures related to retail expansion and upgrading our systems and facilities, as well as shop-within-shop expenditures. The Fiscal 2004 net cash used also reflects $5.4 million for an additional 2% equity interest in Impact21, the company that holds the sublicenses for the Polo Ralph Lauren men’s, women’s and jeans business in Japan, and an additional $3.5 million primarily for additional transaction costs to acquire a 50% interest in the Japanese master license, offset by $8.9 million of cash resulting from the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consolidation of RL Media, $1.0 million for an additional payment on the first earn-out payment calculation in connection with the PRL Fashions of Europe SRL acquisition and $7.5 million for the acquisition in November 2003 of a license for the use of trademarks. Fiscal 2003 net cash used, reflects $78 million primarily for the acquisition of a 50% interest in the Japanese Master license and an 18% equity interest in Impact21, the company holding the sublicenses for the Polo Ralph Lauren men’s, women’s, and jeans business in Japan.</w:t>
      </w:r>
    </w:p>
    <w:p>
      <w:pPr>
        <w:spacing w:after="0" w:line="79" w:lineRule="exact"/>
        <w:rPr>
          <w:sz w:val="20"/>
          <w:szCs w:val="20"/>
          <w:color w:val="auto"/>
        </w:rPr>
      </w:pPr>
    </w:p>
    <w:p>
      <w:pPr>
        <w:ind w:right="220" w:firstLine="270"/>
        <w:spacing w:after="0" w:line="291" w:lineRule="auto"/>
        <w:rPr>
          <w:sz w:val="20"/>
          <w:szCs w:val="20"/>
          <w:color w:val="auto"/>
        </w:rPr>
      </w:pPr>
      <w:r>
        <w:rPr>
          <w:rFonts w:ascii="Arial" w:cs="Arial" w:eastAsia="Arial" w:hAnsi="Arial"/>
          <w:sz w:val="16"/>
          <w:szCs w:val="16"/>
          <w:i w:val="1"/>
          <w:iCs w:val="1"/>
          <w:color w:val="auto"/>
        </w:rPr>
        <w:t xml:space="preserve">Net Cash Used in Financing Activities. </w:t>
      </w:r>
      <w:r>
        <w:rPr>
          <w:rFonts w:ascii="Arial" w:cs="Arial" w:eastAsia="Arial" w:hAnsi="Arial"/>
          <w:sz w:val="16"/>
          <w:szCs w:val="16"/>
          <w:color w:val="auto"/>
        </w:rPr>
        <w:t>Net cash used in financing activities was $76.4 million in Fiscal 2004 compared to $16.7 million in Fiscal 2003.</w:t>
      </w:r>
      <w:r>
        <w:rPr>
          <w:rFonts w:ascii="Arial" w:cs="Arial" w:eastAsia="Arial" w:hAnsi="Arial"/>
          <w:sz w:val="16"/>
          <w:szCs w:val="16"/>
          <w:i w:val="1"/>
          <w:iCs w:val="1"/>
          <w:color w:val="auto"/>
        </w:rPr>
        <w:t xml:space="preserve"> </w:t>
      </w:r>
      <w:r>
        <w:rPr>
          <w:rFonts w:ascii="Arial" w:cs="Arial" w:eastAsia="Arial" w:hAnsi="Arial"/>
          <w:sz w:val="16"/>
          <w:szCs w:val="16"/>
          <w:color w:val="auto"/>
        </w:rPr>
        <w:t>Cash used in financing activities during Fiscal 2004, consisted of the net repayment of short-term borrowings of $100.9 million and the payment of</w:t>
      </w:r>
    </w:p>
    <w:p>
      <w:pPr>
        <w:spacing w:after="0" w:line="255" w:lineRule="auto"/>
        <w:rPr>
          <w:sz w:val="20"/>
          <w:szCs w:val="20"/>
          <w:color w:val="auto"/>
        </w:rPr>
      </w:pPr>
      <w:r>
        <w:rPr>
          <w:rFonts w:ascii="Arial" w:cs="Arial" w:eastAsia="Arial" w:hAnsi="Arial"/>
          <w:sz w:val="18"/>
          <w:szCs w:val="18"/>
          <w:color w:val="auto"/>
        </w:rPr>
        <w:t>$14.8 million in dividends, partially offset by proceeds of $40.4 million from the exercise of stock options. Cash used during Fiscal 2003 primarily consisted of net repayments of borrowings of $19.7 million and repurchases of common stock totaling $4.7 million, partially offset by $7.7 million of proceeds from the exercise of stock options.</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Credit Facilities and Other</w:t>
      </w:r>
    </w:p>
    <w:p>
      <w:pPr>
        <w:spacing w:after="0" w:line="117"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In March 1998, the Board of Directors authorized the repurchase, subject to market conditions, of up to $100.0 million of our Class A common stock. Share repurchases were to be made in the open market over a two-year period. The Board of Directors has extended the stock repurchase program through April 1, 2006. Shares acquired under the repurchase program are used for stock option programs and for other corporate purposes. As of April 2, 2005, we had repurchased 4.1 million shares of our Class A common stock at an aggregate cost of $77.5 million. On February 1, 2005, our Board of Directors approved an additional stock repurchase plan which allows for the repurchase of up to an additional $100 million in our stock. No repurchases have been made under this plan, which does not have a termination date.</w:t>
      </w:r>
    </w:p>
    <w:p>
      <w:pPr>
        <w:spacing w:after="0" w:line="85" w:lineRule="exact"/>
        <w:rPr>
          <w:sz w:val="20"/>
          <w:szCs w:val="20"/>
          <w:color w:val="auto"/>
        </w:rPr>
      </w:pPr>
    </w:p>
    <w:p>
      <w:pPr>
        <w:ind w:right="20" w:firstLine="270"/>
        <w:spacing w:after="0" w:line="257" w:lineRule="auto"/>
        <w:rPr>
          <w:sz w:val="20"/>
          <w:szCs w:val="20"/>
          <w:color w:val="auto"/>
        </w:rPr>
      </w:pPr>
      <w:r>
        <w:rPr>
          <w:rFonts w:ascii="Arial" w:cs="Arial" w:eastAsia="Arial" w:hAnsi="Arial"/>
          <w:sz w:val="18"/>
          <w:szCs w:val="18"/>
          <w:color w:val="auto"/>
        </w:rPr>
        <w:t>In November 1999, we issued Euro 275.0 million of 6.125% notes due November 2006. Our Euro debt is listed on the London Stock Exchange. The net proceeds from the Euro offering were $281.5 million, based on the Euro exchange rate on the issuance date. Interest on the Euro debt is payable annually. A portion of these net proceeds was used to acquire Poloco S.A.S. (our principal European subsidiary), and the remaining net proceeds were retained for general corporate purposes. Through Fiscal 2005, we had repurchased Euro 47.7 million, or $43.6 million, based on Euro exchange rates at the time of repurchase of our outstanding Euro debt.</w:t>
      </w:r>
    </w:p>
    <w:p>
      <w:pPr>
        <w:spacing w:after="0" w:line="80" w:lineRule="exact"/>
        <w:rPr>
          <w:sz w:val="20"/>
          <w:szCs w:val="20"/>
          <w:color w:val="auto"/>
        </w:rPr>
      </w:pPr>
    </w:p>
    <w:p>
      <w:pPr>
        <w:ind w:right="140" w:firstLine="270"/>
        <w:spacing w:after="0" w:line="273" w:lineRule="auto"/>
        <w:rPr>
          <w:sz w:val="20"/>
          <w:szCs w:val="20"/>
          <w:color w:val="auto"/>
        </w:rPr>
      </w:pPr>
      <w:r>
        <w:rPr>
          <w:rFonts w:ascii="Arial" w:cs="Arial" w:eastAsia="Arial" w:hAnsi="Arial"/>
          <w:sz w:val="17"/>
          <w:szCs w:val="17"/>
          <w:color w:val="auto"/>
        </w:rPr>
        <w:t>Prior to October 6, 2004, we had a credit facility with a syndicate of banks consisting of a $300.0 million revolving line of credit, subject to increase to $375.0 million, which was available for direct borrowings and the issuance of letters of credit. It was scheduled to mature on November 18, 2005. On October 6, 2004, we, in substance, expanded and extended this bank credit facility by entering into a new credit agreement, dated as of that date, with JPMorgan Chase Bank, as Administrative Agent, The Bank of New York, Fleet National Bank, SunTrust Bank and Wachovia Bank National Association, as Syndication Agents, J.P. Morgan Securities Inc., as sole Bookrunner and Sole Lead Arranger, and a syndicate of lending banks that included each of the lending banks under the prior credit agreement (the “New Credit Facility”).</w:t>
      </w:r>
    </w:p>
    <w:p>
      <w:pPr>
        <w:spacing w:after="0" w:line="70" w:lineRule="exact"/>
        <w:rPr>
          <w:sz w:val="20"/>
          <w:szCs w:val="20"/>
          <w:color w:val="auto"/>
        </w:rPr>
      </w:pPr>
    </w:p>
    <w:p>
      <w:pPr>
        <w:ind w:right="220" w:firstLine="267"/>
        <w:spacing w:after="0" w:line="284" w:lineRule="auto"/>
        <w:rPr>
          <w:sz w:val="20"/>
          <w:szCs w:val="20"/>
          <w:color w:val="auto"/>
        </w:rPr>
      </w:pPr>
      <w:r>
        <w:rPr>
          <w:rFonts w:ascii="Arial" w:cs="Arial" w:eastAsia="Arial" w:hAnsi="Arial"/>
          <w:sz w:val="16"/>
          <w:szCs w:val="16"/>
          <w:color w:val="auto"/>
        </w:rPr>
        <w:t>The New Credit Facility, which is otherwise substantially on the same terms as the prior credit facility, provides for a $450.0 million revolving line of credit, subject to increase to $525.0 million, which is available for direct borrowings and the issuance of letters of credit. It will mature on October 6, 2009. As of April 2, 2005, we had no direct borrowings outstanding under the New Credit Facility but were contingently liable for $29.8 million in outstanding letters of credit related primarily to commitments for the purchase of inventory. We incur a financing charge of ten basis points per month on the average monthly balance of these outstanding letters of credit. Direct borrowings under the New Credit Facility bear interest, at our option, at a rate equal to (i) the higher of (x) the weighted average overnight Federal funds rate, as published by the Federal Reserve Bank of New York, plus one-half of one percent, and</w:t>
      </w:r>
    </w:p>
    <w:p>
      <w:pPr>
        <w:spacing w:after="0" w:line="5" w:lineRule="exact"/>
        <w:rPr>
          <w:sz w:val="20"/>
          <w:szCs w:val="20"/>
          <w:color w:val="auto"/>
        </w:rPr>
      </w:pPr>
    </w:p>
    <w:p>
      <w:pPr>
        <w:jc w:val="both"/>
        <w:ind w:right="160" w:firstLine="8"/>
        <w:spacing w:after="0" w:line="255"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prime commercial lending rate of JPMorgan Chase Bank in effect from time to time, or (ii) the LIBO Rate (as defined in the New Credit Facility) in effect from time to time, as adjusted for the Federal Reserve Board’s Eurocurrency Liabilities maximum reserve percentage, and a margin based on our then current credit ratings.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New Credit Facility requires us to maintain certain financial covenants, including:</w:t>
      </w:r>
    </w:p>
    <w:p>
      <w:pPr>
        <w:spacing w:after="0" w:line="117" w:lineRule="exact"/>
        <w:rPr>
          <w:sz w:val="20"/>
          <w:szCs w:val="20"/>
          <w:color w:val="auto"/>
        </w:rPr>
      </w:pPr>
    </w:p>
    <w:p>
      <w:pPr>
        <w:ind w:left="460" w:hanging="101"/>
        <w:spacing w:after="0" w:line="277"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minimum ratio of consolidated Earnings Before Interest, Taxes, Depreciation, Amortization and Rent (“EBITDAR”) to Consolidated Interest Expense (as such terms are described in the New Credit Facility); and</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maximum ratio of Adjusted Debt (as defined in the New Credit Facility) to EBITDAR.</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New Credit Facility also contains covenants that, subject to specified exceptions, restrict our ability to:</w:t>
      </w:r>
    </w:p>
    <w:p>
      <w:pPr>
        <w:spacing w:after="0" w:line="117" w:lineRule="exact"/>
        <w:rPr>
          <w:sz w:val="20"/>
          <w:szCs w:val="20"/>
          <w:color w:val="auto"/>
        </w:rPr>
      </w:pPr>
    </w:p>
    <w:p>
      <w:pPr>
        <w:ind w:left="460" w:hanging="101"/>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incur liens and contingent liabilities;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sell or dispose of assets, including equity interests;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merge with or acquire other companies, liquidate or dissolve;</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engage in businesses that are not a related line of business;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make loans, advances or guarantees;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engage in transactions with affiliates;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17"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Upon the occurrence of an event of default under the New Credit Facility, the lenders may cease making loans, terminate the New Credit Facility, and declare all amounts outstanding to be immediately due and payable. The New Credit Facility specifies a number of events of default (many of which are subject to applicable grace periods), including, among others, the failure to make timely principal and interest payments or to satisfy the covenants, including the financial covenants described above. Additionally, the New Credit Facility provides that an event of default will occur if Mr. Ralph Lauren and related entities fail to maintain a specified minimum percentage of the voting power of our common stock. As of April 2, 2005, the Company was in compliance with all financial and non-financial debt covenants.</w:t>
      </w:r>
    </w:p>
    <w:p>
      <w:pPr>
        <w:spacing w:after="0" w:line="85" w:lineRule="exact"/>
        <w:rPr>
          <w:sz w:val="20"/>
          <w:szCs w:val="20"/>
          <w:color w:val="auto"/>
        </w:rPr>
      </w:pPr>
    </w:p>
    <w:p>
      <w:pPr>
        <w:ind w:right="340" w:firstLine="270"/>
        <w:spacing w:after="0" w:line="259" w:lineRule="auto"/>
        <w:rPr>
          <w:sz w:val="20"/>
          <w:szCs w:val="20"/>
          <w:color w:val="auto"/>
        </w:rPr>
      </w:pPr>
      <w:r>
        <w:rPr>
          <w:rFonts w:ascii="Arial" w:cs="Arial" w:eastAsia="Arial" w:hAnsi="Arial"/>
          <w:sz w:val="18"/>
          <w:szCs w:val="18"/>
          <w:color w:val="auto"/>
        </w:rPr>
        <w:t>In Fiscal 2003, the Board of Directors initiated a dividend program consisting of quarterly cash dividends of $0.05 per outstanding share, or $0.20 per outstanding share on an annual basis, on our common stock. Dividends of $0.05 per outstanding share declared to stockholders of record at the close of business on July 2, 2004, October 1, 2004, December 20, 2004 and April 1, 2005 were paid on July 16, 2004, October 15, 2004, January 14, 2005 and April 15, 2005, respectively.</w:t>
      </w:r>
    </w:p>
    <w:p>
      <w:pPr>
        <w:spacing w:after="0" w:line="79" w:lineRule="exact"/>
        <w:rPr>
          <w:sz w:val="20"/>
          <w:szCs w:val="20"/>
          <w:color w:val="auto"/>
        </w:rPr>
      </w:pPr>
    </w:p>
    <w:p>
      <w:pPr>
        <w:ind w:right="40" w:firstLine="267"/>
        <w:spacing w:after="0" w:line="264" w:lineRule="auto"/>
        <w:rPr>
          <w:sz w:val="20"/>
          <w:szCs w:val="20"/>
          <w:color w:val="auto"/>
        </w:rPr>
      </w:pPr>
      <w:r>
        <w:rPr>
          <w:rFonts w:ascii="Arial" w:cs="Arial" w:eastAsia="Arial" w:hAnsi="Arial"/>
          <w:sz w:val="18"/>
          <w:szCs w:val="18"/>
          <w:color w:val="auto"/>
        </w:rPr>
        <w:t>We expect that cash flow from operations will continue to be sufficient to fund our current level of operations, capital requirements, cash dividends and our stock repurchase plan. However, in the event of a material acquisition, material contingencies or material adverse business developments, we may need to draw on our credit facility or other potential sources of borrowing.</w:t>
      </w:r>
    </w:p>
    <w:p>
      <w:pPr>
        <w:spacing w:after="0" w:line="73" w:lineRule="exact"/>
        <w:rPr>
          <w:sz w:val="20"/>
          <w:szCs w:val="20"/>
          <w:color w:val="auto"/>
        </w:rPr>
      </w:pPr>
    </w:p>
    <w:p>
      <w:pPr>
        <w:ind w:right="40" w:firstLine="260"/>
        <w:spacing w:after="0" w:line="277" w:lineRule="auto"/>
        <w:rPr>
          <w:sz w:val="20"/>
          <w:szCs w:val="20"/>
          <w:color w:val="auto"/>
        </w:rPr>
      </w:pPr>
      <w:r>
        <w:rPr>
          <w:rFonts w:ascii="Arial" w:cs="Arial" w:eastAsia="Arial" w:hAnsi="Arial"/>
          <w:sz w:val="18"/>
          <w:szCs w:val="18"/>
          <w:color w:val="auto"/>
        </w:rPr>
        <w:t>As previously discussed, our ability to borrow under our credit facility is subject to our maintenance of financial and other covenants. As of April 2, 2005, we had no direct borrowings under the credit facility and were in compliance with our covenants.</w:t>
      </w:r>
    </w:p>
    <w:p>
      <w:pPr>
        <w:spacing w:after="0" w:line="62" w:lineRule="exact"/>
        <w:rPr>
          <w:sz w:val="20"/>
          <w:szCs w:val="20"/>
          <w:color w:val="auto"/>
        </w:rPr>
      </w:pPr>
    </w:p>
    <w:p>
      <w:pPr>
        <w:ind w:right="220" w:firstLine="267"/>
        <w:spacing w:after="0" w:line="257" w:lineRule="auto"/>
        <w:rPr>
          <w:sz w:val="20"/>
          <w:szCs w:val="20"/>
          <w:color w:val="auto"/>
        </w:rPr>
      </w:pPr>
      <w:r>
        <w:rPr>
          <w:rFonts w:ascii="Arial" w:cs="Arial" w:eastAsia="Arial" w:hAnsi="Arial"/>
          <w:sz w:val="18"/>
          <w:szCs w:val="18"/>
          <w:color w:val="auto"/>
        </w:rPr>
        <w:t>With respect to pending or threatened litigation, the only matter which could have a material adverse effect on our liquidity and capital resources is the litigation with Jones Apparel Group, Inc., in which Jones is seeking, among other things, compensatory damages of $550 million and unspecified punitive damages. See Item 3 — “LEGAL PROCEEDINGS”. As noted above, we recorded a reserve of $100 million in connection with this matter during Fiscal 2005. We continue to believe that this matter is unlikely to have a material adverse effect on our liquidity or capital resources or our ability to borrow under the credit facility.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the Company’s contractual cash obligations by period as of April 2, 2005: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Less than</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6"/>
              </w:rPr>
              <w:t>1-3 Years</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6"/>
              </w:rPr>
              <w:t>4-5 Years</w:t>
            </w:r>
          </w:p>
        </w:tc>
        <w:tc>
          <w:tcPr>
            <w:tcW w:w="4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9"/>
              </w:rPr>
              <w:t>Thereafter</w:t>
            </w:r>
          </w:p>
        </w:tc>
        <w:tc>
          <w:tcPr>
            <w:tcW w:w="6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3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1 Year</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w w:val="96"/>
              </w:rPr>
              <w:t>(Dollars in thousands)</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Inventory purchase commitments</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466,964</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466,964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Long-term Euro debt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17,821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308,781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326,602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Capitalized leases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Operating leases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121,992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235,803</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200,945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580,696</w:t>
            </w:r>
          </w:p>
        </w:tc>
        <w:tc>
          <w:tcPr>
            <w:tcW w:w="2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1,139,436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Additional acquisition purchase price</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w:t>
            </w: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15,000</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3,700</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1,250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7,100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624,973</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549,598</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202,195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580,696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1,957,462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40" w:firstLine="267"/>
        <w:spacing w:after="0" w:line="259" w:lineRule="auto"/>
        <w:rPr>
          <w:sz w:val="20"/>
          <w:szCs w:val="20"/>
          <w:color w:val="auto"/>
        </w:rPr>
      </w:pPr>
      <w:r>
        <w:rPr>
          <w:rFonts w:ascii="Arial" w:cs="Arial" w:eastAsia="Arial" w:hAnsi="Arial"/>
          <w:sz w:val="18"/>
          <w:szCs w:val="18"/>
          <w:color w:val="auto"/>
        </w:rPr>
        <w:t>The long-term Euro debt cash obligation disclosed above includes the principal amount and the interest payable at the 6.125% fixed rate. We have entered into interest rate swaps, which effectively convert the interest rate on an aggregate of Euro 205.2 million of the debt to a weighted average floating rate equal to EURIBOR plus 0.738%. The remaining Euro 22.1 million of fixed rate debt (or such lesser amount should any of the debt be repurchased) incurs interest of Euro 1.3 million per annum until the repayment date of the loan.</w:t>
      </w:r>
    </w:p>
    <w:p>
      <w:pPr>
        <w:spacing w:after="0" w:line="79" w:lineRule="exact"/>
        <w:rPr>
          <w:sz w:val="20"/>
          <w:szCs w:val="20"/>
          <w:color w:val="auto"/>
        </w:rPr>
      </w:pPr>
    </w:p>
    <w:p>
      <w:pPr>
        <w:ind w:firstLine="270"/>
        <w:spacing w:after="0" w:line="273" w:lineRule="auto"/>
        <w:rPr>
          <w:sz w:val="20"/>
          <w:szCs w:val="20"/>
          <w:color w:val="auto"/>
        </w:rPr>
      </w:pPr>
      <w:r>
        <w:rPr>
          <w:rFonts w:ascii="Arial" w:cs="Arial" w:eastAsia="Arial" w:hAnsi="Arial"/>
          <w:sz w:val="17"/>
          <w:szCs w:val="17"/>
          <w:i w:val="1"/>
          <w:iCs w:val="1"/>
          <w:color w:val="auto"/>
        </w:rPr>
        <w:t xml:space="preserve">Derivative Instruments. </w:t>
      </w:r>
      <w:r>
        <w:rPr>
          <w:rFonts w:ascii="Arial" w:cs="Arial" w:eastAsia="Arial" w:hAnsi="Arial"/>
          <w:sz w:val="17"/>
          <w:szCs w:val="17"/>
          <w:color w:val="auto"/>
        </w:rPr>
        <w:t>In June 2002, we entered into a cross currency rate swap which was scheduled to terminate in November 2006. The cross</w:t>
      </w:r>
      <w:r>
        <w:rPr>
          <w:rFonts w:ascii="Arial" w:cs="Arial" w:eastAsia="Arial" w:hAnsi="Arial"/>
          <w:sz w:val="17"/>
          <w:szCs w:val="17"/>
          <w:i w:val="1"/>
          <w:iCs w:val="1"/>
          <w:color w:val="auto"/>
        </w:rPr>
        <w:t xml:space="preserve"> </w:t>
      </w:r>
      <w:r>
        <w:rPr>
          <w:rFonts w:ascii="Arial" w:cs="Arial" w:eastAsia="Arial" w:hAnsi="Arial"/>
          <w:sz w:val="17"/>
          <w:szCs w:val="17"/>
          <w:color w:val="auto"/>
        </w:rPr>
        <w:t>currency rate swap converted €105.2 million, 6.125% fixed rate borrowings into $100.0 million, LIBOR plus 1.24% variable rate borrowings. We entered into the cross currency rate swap to minimize the impact of foreign exchange fluctuations on both principal and interest payments on our long-term Euro debt, and to minimize the impact of changes in the fair value of the Euro debt due to changes in LIBOR, the benchmark interest rate. The swap was designated as a fair value hedge under SFAS No. 133. Hedge ineffectiveness was measured as the difference between the respective gains or losses recognized in earnings from the changes in the fair value of the cross currency rate swap and the Euro debt.</w:t>
      </w:r>
    </w:p>
    <w:p>
      <w:pPr>
        <w:spacing w:after="0" w:line="70" w:lineRule="exact"/>
        <w:rPr>
          <w:sz w:val="20"/>
          <w:szCs w:val="20"/>
          <w:color w:val="auto"/>
        </w:rPr>
      </w:pPr>
    </w:p>
    <w:p>
      <w:pPr>
        <w:ind w:right="40" w:firstLine="270"/>
        <w:spacing w:after="0" w:line="288" w:lineRule="auto"/>
        <w:rPr>
          <w:sz w:val="20"/>
          <w:szCs w:val="20"/>
          <w:color w:val="auto"/>
        </w:rPr>
      </w:pPr>
      <w:r>
        <w:rPr>
          <w:rFonts w:ascii="Arial" w:cs="Arial" w:eastAsia="Arial" w:hAnsi="Arial"/>
          <w:sz w:val="16"/>
          <w:szCs w:val="16"/>
          <w:color w:val="auto"/>
        </w:rPr>
        <w:t>In May 2003, we terminated the cross currency rate swap and entered into an interest rate swap that will terminate in November 2006. The interest rate swap is being used to convert €105.2 million, 6.125% fixed rate borrowings into €105.2 million, EURIBOR minus 1.55% variable rate borrowings. We entered into the interest rate swap to minimize the impact of changes in the fair value of the Euro debt due to changes in EURIBOR, the benchmark interest rate. The swap had been designated as a fair value hedge under SFAS No. 133. Hedge ineffectiveness is measured as the difference between the respective gains or losses recognized in earnings from the changes in the fair value of the interest rate swap and the Euro debt resulting from changes in the benchmark interest rate, and was de minimis for Fiscal 2005. In addition, we have designated the entire principal of the Euro debt as a hedge of our net investment in a foreign subsidiary. As a result, changes in the fair value of the Euro debt resulting from changes in the Euro rate are reported net of income taxes in Accumulated other comprehensive income in the consolidated financial statements as an unrealized gain or loss on foreign currency hedges. On April 6, 2004 and October 4, 2004, we executed additional interest rate swaps to convert the fixed interest rate on an additional Euro 100 million of the Eurobonds to a floating rate (EURIBOR based). After the execution of these swaps, approximately Euro 22 million of the Eurobonds remained at a fixed interest rate.</w:t>
      </w:r>
    </w:p>
    <w:p>
      <w:pPr>
        <w:spacing w:after="0" w:line="61" w:lineRule="exact"/>
        <w:rPr>
          <w:sz w:val="20"/>
          <w:szCs w:val="20"/>
          <w:color w:val="auto"/>
        </w:rPr>
      </w:pPr>
    </w:p>
    <w:p>
      <w:pPr>
        <w:jc w:val="both"/>
        <w:ind w:right="160" w:firstLine="267"/>
        <w:spacing w:after="0" w:line="288" w:lineRule="auto"/>
        <w:rPr>
          <w:sz w:val="20"/>
          <w:szCs w:val="20"/>
          <w:color w:val="auto"/>
        </w:rPr>
      </w:pPr>
      <w:r>
        <w:rPr>
          <w:rFonts w:ascii="Arial" w:cs="Arial" w:eastAsia="Arial" w:hAnsi="Arial"/>
          <w:sz w:val="16"/>
          <w:szCs w:val="16"/>
          <w:color w:val="auto"/>
        </w:rPr>
        <w:t>We enter into forward foreign exchange contracts as hedges relating to identifiable currency positions to reduce our risk from exchange rate fluctuations on inventory and intercompany royalty payments. Gains and losses on these contracts are deferred and recognized as adjustments to either the basis of those assets or foreign exchange gains/losses, as applicable. At April 2, 2005, we had the following foreign exchange contracts outstanding: (i) to deliver Euro</w:t>
      </w:r>
    </w:p>
    <w:p>
      <w:pPr>
        <w:spacing w:after="0"/>
        <w:rPr>
          <w:sz w:val="20"/>
          <w:szCs w:val="20"/>
          <w:color w:val="auto"/>
        </w:rPr>
      </w:pPr>
      <w:r>
        <w:rPr>
          <w:rFonts w:ascii="Arial" w:cs="Arial" w:eastAsia="Arial" w:hAnsi="Arial"/>
          <w:sz w:val="16"/>
          <w:szCs w:val="16"/>
          <w:color w:val="auto"/>
        </w:rPr>
        <w:t>94.3 million in exchange for $124.3 million through Fiscal 2005 and (ii) to deliver 11,389 million Japanese Yen in exchange for $99.6 million through Fiscal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2008. At April 2, 2005,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fair value of these contracts resulted in unrealized gain and loss, net of taxes of $1.8 million and $8.2 million, for the Euro forward contracts and Japanese Yen forward contracts, respectively.</w:t>
      </w:r>
    </w:p>
    <w:p>
      <w:pPr>
        <w:spacing w:after="0" w:line="62" w:lineRule="exact"/>
        <w:rPr>
          <w:sz w:val="20"/>
          <w:szCs w:val="20"/>
          <w:color w:val="auto"/>
        </w:rPr>
      </w:pPr>
    </w:p>
    <w:p>
      <w:pPr>
        <w:ind w:right="60" w:firstLine="267"/>
        <w:spacing w:after="0" w:line="291" w:lineRule="auto"/>
        <w:rPr>
          <w:sz w:val="20"/>
          <w:szCs w:val="20"/>
          <w:color w:val="auto"/>
        </w:rPr>
      </w:pPr>
      <w:r>
        <w:rPr>
          <w:rFonts w:ascii="Arial" w:cs="Arial" w:eastAsia="Arial" w:hAnsi="Arial"/>
          <w:sz w:val="16"/>
          <w:szCs w:val="16"/>
          <w:color w:val="auto"/>
        </w:rPr>
        <w:t>To the extent that any derivative instruments do not qualify for hedge accounting under SFAS No. 133, they are recorded at fair value, with all gains or losses recognized immediately in the current period earnings. In November 2002, we entered into forward contracts on 6.2 billion Japanese Yen that terminated in February 2003. While these transactions did not qualify for hedge accounting under SFAS No. 133, we entered into these forward contracts to minimize the impact of foreign exchange fluctuations on the Japanese Yen denominated purchase price described in the agreements related to the purchase of a 50% interest in the Japanese master license and an 18% equity interest in the company which holds the sublicenses for the Polo Ralph Lauren men’s, women’s and jeans business in Japan, which were consummated during the fourth quarter of Fiscal 2003. We recognized $2.4 million of foreign currency gains on this transaction, which are recorded in foreign currency (gains) losses in the Consolidated Statements of Income.</w:t>
      </w:r>
    </w:p>
    <w:p>
      <w:pPr>
        <w:spacing w:after="0" w:line="59" w:lineRule="exact"/>
        <w:rPr>
          <w:sz w:val="20"/>
          <w:szCs w:val="20"/>
          <w:color w:val="auto"/>
        </w:rPr>
      </w:pPr>
    </w:p>
    <w:p>
      <w:pPr>
        <w:ind w:firstLine="267"/>
        <w:spacing w:after="0" w:line="264" w:lineRule="auto"/>
        <w:rPr>
          <w:sz w:val="20"/>
          <w:szCs w:val="20"/>
          <w:color w:val="auto"/>
        </w:rPr>
      </w:pPr>
      <w:r>
        <w:rPr>
          <w:rFonts w:ascii="Arial" w:cs="Arial" w:eastAsia="Arial" w:hAnsi="Arial"/>
          <w:sz w:val="18"/>
          <w:szCs w:val="18"/>
          <w:color w:val="auto"/>
        </w:rPr>
        <w:t>We recognize gains or losses in connection with our foreign currency contracts when the cash flows they hedge take place. We recognized $10.9 million in forward losses in Fiscal 2005, and $1.9 million in Fiscal 2004 in the Consolidated Statements of Income. These charges are recorded as components of cost of sales and royalty expense in the Consolidated statement of income.</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 xml:space="preserve">Off-Balance Sheet Arrangements. </w:t>
      </w:r>
      <w:r>
        <w:rPr>
          <w:rFonts w:ascii="Arial" w:cs="Arial" w:eastAsia="Arial" w:hAnsi="Arial"/>
          <w:sz w:val="17"/>
          <w:szCs w:val="17"/>
          <w:color w:val="auto"/>
        </w:rPr>
        <w:t>We do not have any off-balance sheet financing arrangements or unconsolidated special purpose entities.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of Business</w:t>
      </w:r>
    </w:p>
    <w:p>
      <w:pPr>
        <w:spacing w:after="0" w:line="121" w:lineRule="exact"/>
        <w:rPr>
          <w:sz w:val="20"/>
          <w:szCs w:val="20"/>
          <w:color w:val="auto"/>
        </w:rPr>
      </w:pPr>
    </w:p>
    <w:p>
      <w:pPr>
        <w:ind w:right="240" w:firstLine="270"/>
        <w:spacing w:after="0" w:line="276" w:lineRule="auto"/>
        <w:rPr>
          <w:sz w:val="20"/>
          <w:szCs w:val="20"/>
          <w:color w:val="auto"/>
        </w:rPr>
      </w:pPr>
      <w:r>
        <w:rPr>
          <w:rFonts w:ascii="Arial" w:cs="Arial" w:eastAsia="Arial" w:hAnsi="Arial"/>
          <w:sz w:val="17"/>
          <w:szCs w:val="17"/>
          <w:color w:val="auto"/>
        </w:rPr>
        <w:t>Our business is affected by seasonal trends, with higher levels of wholesale sales in our second and fourth quarters and higher retail sales in our second and third quarters. These trends result primarily from the timing of seasonal wholesale shipments to retail customers and key vacation travel and holiday shopping periods in the retail segment. As a result of the growth in our retail operations and other changes in our business, historical quarterly operating trends and working capital requirements may not be indicative of future performances. In addition, fluctuations in sales and operating income in any fiscal quarter may be affected by the timing of seasonal wholesale shipments and other events affecting retail sales.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20" w:firstLine="267"/>
        <w:spacing w:after="0" w:line="30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certain estimates and assumptions that affect the reported amounts of assets and liabilities and disclosure of contingent assets and liabilities at the date of the financial statements and the reported amounts of revenues and expenses during the reporting period. Significant accounting policies employed by the Company, including the use of estimates, are presented in Note 1 to the Consolidated Financial Statements in this Annual Report on Form 10-K.</w:t>
      </w:r>
    </w:p>
    <w:p>
      <w:pPr>
        <w:spacing w:after="0" w:line="46" w:lineRule="exact"/>
        <w:rPr>
          <w:sz w:val="20"/>
          <w:szCs w:val="20"/>
          <w:color w:val="auto"/>
        </w:rPr>
      </w:pPr>
    </w:p>
    <w:p>
      <w:pPr>
        <w:ind w:right="40" w:firstLine="270"/>
        <w:spacing w:after="0" w:line="291" w:lineRule="auto"/>
        <w:rPr>
          <w:sz w:val="20"/>
          <w:szCs w:val="20"/>
          <w:color w:val="auto"/>
        </w:rPr>
      </w:pPr>
      <w:r>
        <w:rPr>
          <w:rFonts w:ascii="Arial" w:cs="Arial" w:eastAsia="Arial" w:hAnsi="Arial"/>
          <w:sz w:val="16"/>
          <w:szCs w:val="16"/>
          <w:color w:val="auto"/>
        </w:rPr>
        <w:t>Critical accounting policies are those that are most important to the portrayal of the Company’s financial condition and the results of operations, and require management’s most difficult, subjective and complex judgements as a result of the need to make estimates about the effect of matters that are inherently uncertain. The Company’s most critical accounting policies, discussed below, pertain to revenue recognition, accounts receivable, inventories, goodwill, other long-lived intangible assets, income taxes, accrued expenses and derivative instruments. In applying such policies, management must use some amounts that are based upon its informed judgements and best estimates. Estimates, by their nature, are based on judgements and available information. The estimates that we make are based upon historical factors, current circumstances and the experience and judgement of our management. We evaluate our assumptions and estimates on an ongoing basis and may employ outside experts to assist in our evaluations.</w:t>
      </w:r>
    </w:p>
    <w:p>
      <w:pPr>
        <w:spacing w:after="0" w:line="59" w:lineRule="exact"/>
        <w:rPr>
          <w:sz w:val="20"/>
          <w:szCs w:val="20"/>
          <w:color w:val="auto"/>
        </w:rPr>
      </w:pPr>
    </w:p>
    <w:p>
      <w:pPr>
        <w:ind w:right="20" w:firstLine="270"/>
        <w:spacing w:after="0" w:line="264" w:lineRule="auto"/>
        <w:rPr>
          <w:sz w:val="20"/>
          <w:szCs w:val="20"/>
          <w:color w:val="auto"/>
        </w:rPr>
      </w:pPr>
      <w:r>
        <w:rPr>
          <w:rFonts w:ascii="Arial" w:cs="Arial" w:eastAsia="Arial" w:hAnsi="Arial"/>
          <w:sz w:val="18"/>
          <w:szCs w:val="18"/>
          <w:color w:val="auto"/>
        </w:rPr>
        <w:t>Changes in such estimates, based on more accurate future information, may affect amounts reported in future periods. We are not aware of any reasonably likely events or circumstances which would result in different amounts being reported that would materially affect our financial condition or results of operations.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40" w:firstLine="270"/>
        <w:spacing w:after="0" w:line="259" w:lineRule="auto"/>
        <w:rPr>
          <w:sz w:val="20"/>
          <w:szCs w:val="20"/>
          <w:color w:val="auto"/>
        </w:rPr>
      </w:pPr>
      <w:r>
        <w:rPr>
          <w:rFonts w:ascii="Arial" w:cs="Arial" w:eastAsia="Arial" w:hAnsi="Arial"/>
          <w:sz w:val="18"/>
          <w:szCs w:val="18"/>
          <w:color w:val="auto"/>
        </w:rPr>
        <w:t>Revenue within our wholesale operations is recognized at the time title passes and risk of loss is transferred to customers. Wholesale revenue is recorded net of returns, discounts, allowances and operational chargebacks. Returns and allowances require pre-approval from management. Discounts are based on trade terms. Estimates for end-of-season allowances are based on historic trends, seasonal results, an evaluation of current economic conditions and retailer performance.</w:t>
      </w:r>
    </w:p>
    <w:p>
      <w:pPr>
        <w:spacing w:after="0" w:line="79" w:lineRule="exact"/>
        <w:rPr>
          <w:sz w:val="20"/>
          <w:szCs w:val="20"/>
          <w:color w:val="auto"/>
        </w:rPr>
      </w:pPr>
    </w:p>
    <w:p>
      <w:pPr>
        <w:ind w:right="20" w:firstLine="267"/>
        <w:spacing w:after="0" w:line="257" w:lineRule="auto"/>
        <w:rPr>
          <w:sz w:val="20"/>
          <w:szCs w:val="20"/>
          <w:color w:val="auto"/>
        </w:rPr>
      </w:pPr>
      <w:r>
        <w:rPr>
          <w:rFonts w:ascii="Arial" w:cs="Arial" w:eastAsia="Arial" w:hAnsi="Arial"/>
          <w:sz w:val="18"/>
          <w:szCs w:val="18"/>
          <w:color w:val="auto"/>
        </w:rPr>
        <w:t>We review and refine these estimates on a quarterly basis based on current experience, trends and retailer performance. Our historical estimates of these costs have not differed materially from actual results. Retail store revenue is recognized net of estimated returns at the time of sale to consumers. Licensing revenue is initially recorded based upon contractually guaranteed minimum levels and adjusted as actual sales data is received from licensees. During the year ending April 2, 2005 and April 3, 2004, we reduced revenues and credited customer accounts for end of season customer allowances, operational chargebacks and returns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Year Ended</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gridSpan w:val="2"/>
          </w:tcPr>
          <w:p>
            <w:pPr>
              <w:jc w:val="center"/>
              <w:ind w:right="948"/>
              <w:spacing w:after="0" w:line="133" w:lineRule="exact"/>
              <w:rPr>
                <w:sz w:val="20"/>
                <w:szCs w:val="20"/>
                <w:color w:val="auto"/>
              </w:rPr>
            </w:pPr>
            <w:r>
              <w:rPr>
                <w:rFonts w:ascii="Arial" w:cs="Arial" w:eastAsia="Arial" w:hAnsi="Arial"/>
                <w:sz w:val="14"/>
                <w:szCs w:val="14"/>
                <w:b w:val="1"/>
                <w:bCs w:val="1"/>
                <w:color w:val="auto"/>
                <w:w w:val="96"/>
              </w:rPr>
              <w:t>April 2,</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right"/>
              <w:ind w:right="275"/>
              <w:spacing w:after="0" w:line="133" w:lineRule="exact"/>
              <w:rPr>
                <w:sz w:val="20"/>
                <w:szCs w:val="20"/>
                <w:color w:val="auto"/>
              </w:rPr>
            </w:pPr>
            <w:r>
              <w:rPr>
                <w:rFonts w:ascii="Arial" w:cs="Arial" w:eastAsia="Arial" w:hAnsi="Arial"/>
                <w:sz w:val="14"/>
                <w:szCs w:val="14"/>
                <w:b w:val="1"/>
                <w:bCs w:val="1"/>
                <w:color w:val="auto"/>
              </w:rPr>
              <w:t>April 3,</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2005</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Beginning reserve balance</w:t>
            </w:r>
          </w:p>
        </w:tc>
        <w:tc>
          <w:tcPr>
            <w:tcW w:w="2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90,269</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Amount expensed</w:t>
            </w: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708"/>
              <w:spacing w:after="0"/>
              <w:rPr>
                <w:sz w:val="20"/>
                <w:szCs w:val="20"/>
                <w:color w:val="auto"/>
              </w:rPr>
            </w:pPr>
            <w:r>
              <w:rPr>
                <w:rFonts w:ascii="Arial" w:cs="Arial" w:eastAsia="Arial" w:hAnsi="Arial"/>
                <w:sz w:val="18"/>
                <w:szCs w:val="18"/>
                <w:color w:val="auto"/>
              </w:rPr>
              <w:t>265,340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213,645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Amount credited against customer accounts</w:t>
            </w:r>
          </w:p>
        </w:tc>
        <w:tc>
          <w:tcPr>
            <w:tcW w:w="2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(256,730)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(171,808)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708"/>
              <w:spacing w:after="0"/>
              <w:rPr>
                <w:sz w:val="20"/>
                <w:szCs w:val="20"/>
                <w:color w:val="auto"/>
              </w:rPr>
            </w:pPr>
            <w:r>
              <w:rPr>
                <w:rFonts w:ascii="Arial" w:cs="Arial" w:eastAsia="Arial" w:hAnsi="Arial"/>
                <w:sz w:val="18"/>
                <w:szCs w:val="18"/>
                <w:color w:val="auto"/>
              </w:rPr>
              <w:t>1,122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Ending reserve balance</w:t>
            </w:r>
          </w:p>
        </w:tc>
        <w:tc>
          <w:tcPr>
            <w:tcW w:w="2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100,001</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90,269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00" w:firstLine="270"/>
        <w:spacing w:after="0" w:line="277" w:lineRule="auto"/>
        <w:rPr>
          <w:sz w:val="20"/>
          <w:szCs w:val="20"/>
          <w:color w:val="auto"/>
        </w:rPr>
      </w:pPr>
      <w:r>
        <w:rPr>
          <w:rFonts w:ascii="Arial" w:cs="Arial" w:eastAsia="Arial" w:hAnsi="Arial"/>
          <w:sz w:val="18"/>
          <w:szCs w:val="18"/>
          <w:color w:val="auto"/>
        </w:rPr>
        <w:t>Our provisions and write offs against the reserves offsetting accounts receivable increased in fiscal 2005 due to the large increase in wholesale sales and the promotional retail environment. Ending reserve balances have increased for substantially the same reasons.</w:t>
      </w:r>
    </w:p>
    <w:p>
      <w:pPr>
        <w:spacing w:after="0" w:line="62" w:lineRule="exact"/>
        <w:rPr>
          <w:sz w:val="20"/>
          <w:szCs w:val="20"/>
          <w:color w:val="auto"/>
        </w:rPr>
      </w:pPr>
    </w:p>
    <w:p>
      <w:pPr>
        <w:ind w:right="40" w:firstLine="267"/>
        <w:spacing w:after="0" w:line="308" w:lineRule="auto"/>
        <w:rPr>
          <w:sz w:val="20"/>
          <w:szCs w:val="20"/>
          <w:color w:val="auto"/>
        </w:rPr>
      </w:pPr>
      <w:r>
        <w:rPr>
          <w:rFonts w:ascii="Arial" w:cs="Arial" w:eastAsia="Arial" w:hAnsi="Arial"/>
          <w:sz w:val="17"/>
          <w:szCs w:val="17"/>
          <w:color w:val="auto"/>
        </w:rPr>
        <w:t>We require that a store be open a full fiscal year before we include it in the computation of same store sales change. Stores that are closed during the fiscal year are excluded. Stores that are relocated or enlarged are also excluded until they have been in their new location for a full fiscal year.</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270"/>
        <w:spacing w:after="0" w:line="290" w:lineRule="auto"/>
        <w:rPr>
          <w:sz w:val="20"/>
          <w:szCs w:val="20"/>
          <w:color w:val="auto"/>
        </w:rPr>
      </w:pPr>
      <w:r>
        <w:rPr>
          <w:rFonts w:ascii="Arial" w:cs="Arial" w:eastAsia="Arial" w:hAnsi="Arial"/>
          <w:sz w:val="16"/>
          <w:szCs w:val="16"/>
          <w:color w:val="auto"/>
        </w:rPr>
        <w:t>Income taxes are accounted for under Statement of Financial Accounting Standards (“SFAS”) No. 109, “Accounting for Income Taxes.” In accordance with SFAS No. 109, deferred tax assets and liabilities are recognized for the future tax consequences attributable to differences between the financial statement carrying amounts of existing assets and liabilities and their respective tax bases, as measured by statutory tax rates that are expected to be in effect in the periods when the deferred tax assets and liabilities are expected to be settled or realized. Significant judgement is required in determining the worldwide provisions for income taxes. In the ordinary course of a global business, there are many transactions for which the ultimate tax outcome is uncertain. It is our policy to establish provisions for taxes that may become payable in future years as a result of an examination by tax authorities. We established the provisions based upon management’s assessment of exposure associated with permanent tax differences and tax credits. The tax provisions are analyzed periodically and adjustments are made as events occur that warrant adjustments to those provisions.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17" w:lineRule="exact"/>
        <w:rPr>
          <w:sz w:val="20"/>
          <w:szCs w:val="20"/>
          <w:color w:val="auto"/>
        </w:rPr>
      </w:pPr>
    </w:p>
    <w:p>
      <w:pPr>
        <w:ind w:right="200" w:firstLine="270"/>
        <w:spacing w:after="0" w:line="277" w:lineRule="auto"/>
        <w:rPr>
          <w:sz w:val="20"/>
          <w:szCs w:val="20"/>
          <w:color w:val="auto"/>
        </w:rPr>
      </w:pPr>
      <w:r>
        <w:rPr>
          <w:rFonts w:ascii="Arial" w:cs="Arial" w:eastAsia="Arial" w:hAnsi="Arial"/>
          <w:sz w:val="18"/>
          <w:szCs w:val="18"/>
          <w:color w:val="auto"/>
        </w:rPr>
        <w:t>In the normal course of business, we extend credit to our wholesale customers that satisfy pre-defined credit criteria. Accounts receivable, net, as shown on the Consolidated Balance Sheets, is net of the following allowances and reserves.</w:t>
      </w:r>
    </w:p>
    <w:p>
      <w:pPr>
        <w:spacing w:after="0" w:line="62" w:lineRule="exact"/>
        <w:rPr>
          <w:sz w:val="20"/>
          <w:szCs w:val="20"/>
          <w:color w:val="auto"/>
        </w:rPr>
      </w:pPr>
    </w:p>
    <w:p>
      <w:pPr>
        <w:jc w:val="both"/>
        <w:ind w:right="40" w:firstLine="260"/>
        <w:spacing w:after="0" w:line="264" w:lineRule="auto"/>
        <w:rPr>
          <w:sz w:val="20"/>
          <w:szCs w:val="20"/>
          <w:color w:val="auto"/>
        </w:rPr>
      </w:pPr>
      <w:r>
        <w:rPr>
          <w:rFonts w:ascii="Arial" w:cs="Arial" w:eastAsia="Arial" w:hAnsi="Arial"/>
          <w:sz w:val="18"/>
          <w:szCs w:val="18"/>
          <w:color w:val="auto"/>
        </w:rPr>
        <w:t>An allowance for doubtful accounts is determined through analysis of the aging of accounts receivable at the date of the consolidated financial statements, assessments of collectibility based on an evaluation of historic and anticipated trends, the financial condition of the Company’s customers, and an evaluation of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impact of economic conditions. Expenses of $6.0 million were recorded as an allowance for uncollectible accounts during fiscal 2005. The amounts written off against customer accounts during fiscal 2005 totaled $2.1 million, and the balance in this reserve was $11.0 million as of April 2, 2005.</w:t>
      </w:r>
    </w:p>
    <w:p>
      <w:pPr>
        <w:spacing w:after="0" w:line="38" w:lineRule="exact"/>
        <w:rPr>
          <w:sz w:val="20"/>
          <w:szCs w:val="20"/>
          <w:color w:val="auto"/>
        </w:rPr>
      </w:pPr>
    </w:p>
    <w:p>
      <w:pPr>
        <w:ind w:right="60" w:firstLine="260"/>
        <w:spacing w:after="0" w:line="277" w:lineRule="auto"/>
        <w:rPr>
          <w:sz w:val="20"/>
          <w:szCs w:val="20"/>
          <w:color w:val="auto"/>
        </w:rPr>
      </w:pPr>
      <w:r>
        <w:rPr>
          <w:rFonts w:ascii="Arial" w:cs="Arial" w:eastAsia="Arial" w:hAnsi="Arial"/>
          <w:sz w:val="18"/>
          <w:szCs w:val="18"/>
          <w:color w:val="auto"/>
        </w:rPr>
        <w:t>A reserve for trade discounts is established based on open invoices where trade discounts have been extended to customers and is treated as a reduction of sales.</w:t>
      </w:r>
    </w:p>
    <w:p>
      <w:pPr>
        <w:spacing w:after="0" w:line="62" w:lineRule="exact"/>
        <w:rPr>
          <w:sz w:val="20"/>
          <w:szCs w:val="20"/>
          <w:color w:val="auto"/>
        </w:rPr>
      </w:pPr>
    </w:p>
    <w:p>
      <w:pPr>
        <w:ind w:right="80" w:firstLine="270"/>
        <w:spacing w:after="0" w:line="286" w:lineRule="auto"/>
        <w:rPr>
          <w:sz w:val="20"/>
          <w:szCs w:val="20"/>
          <w:color w:val="auto"/>
        </w:rPr>
      </w:pPr>
      <w:r>
        <w:rPr>
          <w:rFonts w:ascii="Arial" w:cs="Arial" w:eastAsia="Arial" w:hAnsi="Arial"/>
          <w:sz w:val="17"/>
          <w:szCs w:val="17"/>
          <w:color w:val="auto"/>
        </w:rPr>
        <w:t>Estimated customer end of season allowances (also referred to as customer markdowns) are included as a reduction of sales. These provisions are based on retail sales performance, seasonal negotiations with our customers as well as historic deduction trends and an evaluation of current market conditions. Our historical estimates of these costs have not differed materially from actual results. (See Revenue Recognition above)</w:t>
      </w:r>
    </w:p>
    <w:p>
      <w:pPr>
        <w:spacing w:after="0" w:line="57" w:lineRule="exact"/>
        <w:rPr>
          <w:sz w:val="20"/>
          <w:szCs w:val="20"/>
          <w:color w:val="auto"/>
        </w:rPr>
      </w:pPr>
    </w:p>
    <w:p>
      <w:pPr>
        <w:ind w:right="20" w:firstLine="260"/>
        <w:spacing w:after="0" w:line="286" w:lineRule="auto"/>
        <w:rPr>
          <w:sz w:val="20"/>
          <w:szCs w:val="20"/>
          <w:color w:val="auto"/>
        </w:rPr>
      </w:pPr>
      <w:r>
        <w:rPr>
          <w:rFonts w:ascii="Arial" w:cs="Arial" w:eastAsia="Arial" w:hAnsi="Arial"/>
          <w:sz w:val="17"/>
          <w:szCs w:val="17"/>
          <w:color w:val="auto"/>
        </w:rPr>
        <w:t>A reserve for operational chargebacks represents various deductions by customers relating to individual shipments. This reserve, net of expected recoveries, is included as a reduction of sales. The reserve is based on chargebacks received as of the date of the financial statements and past experience. Our historical estimates of these costs have not differed materially from actual results. (See Revenue Recognition above)</w:t>
      </w:r>
    </w:p>
    <w:p>
      <w:pPr>
        <w:spacing w:after="0" w:line="57" w:lineRule="exact"/>
        <w:rPr>
          <w:sz w:val="20"/>
          <w:szCs w:val="20"/>
          <w:color w:val="auto"/>
        </w:rPr>
      </w:pPr>
    </w:p>
    <w:p>
      <w:pPr>
        <w:jc w:val="both"/>
        <w:ind w:right="260" w:firstLine="270"/>
        <w:spacing w:after="0" w:line="264" w:lineRule="auto"/>
        <w:rPr>
          <w:sz w:val="20"/>
          <w:szCs w:val="20"/>
          <w:color w:val="auto"/>
        </w:rPr>
      </w:pPr>
      <w:r>
        <w:rPr>
          <w:rFonts w:ascii="Arial" w:cs="Arial" w:eastAsia="Arial" w:hAnsi="Arial"/>
          <w:sz w:val="18"/>
          <w:szCs w:val="18"/>
          <w:color w:val="auto"/>
        </w:rPr>
        <w:t>Costs associated with potential returns of products are included as a reduction of sales. These reserves are based on current information regarding retail performance, historical experience and an evaluation of current market conditions. Our historical estimates of these costs have not differed materially from actual results. (See Revenue Recognition above)</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120" w:firstLine="270"/>
        <w:spacing w:after="0" w:line="291" w:lineRule="auto"/>
        <w:rPr>
          <w:sz w:val="20"/>
          <w:szCs w:val="20"/>
          <w:color w:val="auto"/>
        </w:rPr>
      </w:pPr>
      <w:r>
        <w:rPr>
          <w:rFonts w:ascii="Arial" w:cs="Arial" w:eastAsia="Arial" w:hAnsi="Arial"/>
          <w:sz w:val="16"/>
          <w:szCs w:val="16"/>
          <w:color w:val="auto"/>
        </w:rPr>
        <w:t>Inventories are valued at the lower of cost First-in, First-out, (“FIFO”), method, or market. We continually evaluate the composition of our inventories assessing slow-turning, ongoing product as well as prior seasons’ fashion product. Market value of distressed inventory is determined based on historical sales trends for the category of inventory involved, the impact of market trends and economic conditions. Estimates may differ from actual results due to quantity, quality and mix of products in inventory, consumer and retailer preferences and market conditions. We review our inventory position on a quarterly basis at a minimum and adjust our estimates based on revised projections and current market conditions. If economic conditions worsen, we incorrectly anticipate trends or unexpected events occur, our estimates could be proven overly optimistic, and required adjustments could materially adversely affect future results of operations. Our historical estimates of these costs have not differed materially from actual results.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Goodwill, Other Intangibles, Net and Long-Lived Assets</w:t>
      </w:r>
    </w:p>
    <w:p>
      <w:pPr>
        <w:spacing w:after="0" w:line="117" w:lineRule="exact"/>
        <w:rPr>
          <w:sz w:val="20"/>
          <w:szCs w:val="20"/>
          <w:color w:val="auto"/>
        </w:rPr>
      </w:pPr>
    </w:p>
    <w:p>
      <w:pPr>
        <w:ind w:right="20" w:firstLine="270"/>
        <w:spacing w:after="0" w:line="257" w:lineRule="auto"/>
        <w:rPr>
          <w:sz w:val="20"/>
          <w:szCs w:val="20"/>
          <w:color w:val="auto"/>
        </w:rPr>
      </w:pPr>
      <w:r>
        <w:rPr>
          <w:rFonts w:ascii="Arial" w:cs="Arial" w:eastAsia="Arial" w:hAnsi="Arial"/>
          <w:sz w:val="18"/>
          <w:szCs w:val="18"/>
          <w:color w:val="auto"/>
        </w:rPr>
        <w:t>SFAS No. 142, “Goodwill and Other Intangible Assets,” requires that goodwill and intangible assets with indefinite lives no longer be amortized, but rather be tested, at least annually, for impairment. This pronouncement also requires that intangible assets with finite lives be amortized over their respective lives to their estimated residual values, and reviewed for impairment in accordance with SFAS No. 144, “Accounting for the Impairment or Disposal of Long-Lived Assets.” During fiscal 2005, there have been no material impairment losses recorded in connection with the assessment of the carrying value of long-lived and intangible assets.</w:t>
      </w:r>
    </w:p>
    <w:p>
      <w:pPr>
        <w:spacing w:after="0" w:line="80" w:lineRule="exact"/>
        <w:rPr>
          <w:sz w:val="20"/>
          <w:szCs w:val="20"/>
          <w:color w:val="auto"/>
        </w:rPr>
      </w:pPr>
    </w:p>
    <w:p>
      <w:pPr>
        <w:ind w:firstLine="267"/>
        <w:spacing w:after="0" w:line="255" w:lineRule="auto"/>
        <w:rPr>
          <w:sz w:val="20"/>
          <w:szCs w:val="20"/>
          <w:color w:val="auto"/>
        </w:rPr>
      </w:pPr>
      <w:r>
        <w:rPr>
          <w:rFonts w:ascii="Arial" w:cs="Arial" w:eastAsia="Arial" w:hAnsi="Arial"/>
          <w:sz w:val="18"/>
          <w:szCs w:val="18"/>
          <w:color w:val="auto"/>
        </w:rPr>
        <w:t>The recoverability of the carrying values of all long-lived assets with definite lives is reevaluated when changes in circumstances indicate the assets’ value may be impaired. In evaluating an asset for recoverability, we use our best estimate of the future cash flows expected to result from the use of the asset and eventual disposition. If the sum of the expected future cash flows is less than the carrying amount of the asset, an impairment loss, equal to the excess of the carrying amount over the fair value of the asset, is recognized. In determining the future cash flows, we take various factors into account, including changes in merchandising strategy, the impact of more experienced store managers, the impact of increased local advertising and the emphasis on store cost controls. Since the determination of future cash flows is an estimate of future performance, there may be future impairments in the event the future cash flows do not meet expectations.</w:t>
      </w:r>
    </w:p>
    <w:p>
      <w:pPr>
        <w:spacing w:after="0" w:line="81"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During the year ended April 2, 2005, we recorded a $1.3 million impairment charge related to the fixed assets at three Club Monaco retail locations.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17" w:lineRule="exact"/>
        <w:rPr>
          <w:sz w:val="20"/>
          <w:szCs w:val="20"/>
          <w:color w:val="auto"/>
        </w:rPr>
      </w:pPr>
    </w:p>
    <w:p>
      <w:pPr>
        <w:ind w:firstLine="260"/>
        <w:spacing w:after="0" w:line="259" w:lineRule="auto"/>
        <w:rPr>
          <w:sz w:val="20"/>
          <w:szCs w:val="20"/>
          <w:color w:val="auto"/>
        </w:rPr>
      </w:pPr>
      <w:r>
        <w:rPr>
          <w:rFonts w:ascii="Arial" w:cs="Arial" w:eastAsia="Arial" w:hAnsi="Arial"/>
          <w:sz w:val="18"/>
          <w:szCs w:val="18"/>
          <w:color w:val="auto"/>
        </w:rPr>
        <w:t>Accrued expenses for employee insurance, workers’ compensation, profit sharing, contracted advertising, professional fees and other outstanding obligations are assessed based on claims experience and statistical trends, open contractual obligations, and estimates based on projections and current requirements. If these trends change significantly, then actual results would likely be impacted. Our historical estimates of these costs and our provisions have not differed materially from actual results.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ind w:right="180" w:firstLine="270"/>
        <w:spacing w:after="0" w:line="302" w:lineRule="auto"/>
        <w:rPr>
          <w:sz w:val="20"/>
          <w:szCs w:val="20"/>
          <w:color w:val="auto"/>
        </w:rPr>
      </w:pPr>
      <w:r>
        <w:rPr>
          <w:rFonts w:ascii="Arial" w:cs="Arial" w:eastAsia="Arial" w:hAnsi="Arial"/>
          <w:sz w:val="16"/>
          <w:szCs w:val="16"/>
          <w:color w:val="auto"/>
        </w:rPr>
        <w:t>SFAS No. 133, “Accounting for Derivative Instruments and Hedging Activities,” as amended and interpreted, requires that each derivative instrument (including certain derivative instruments embedded in other contracts) be recorded in the balance sheet as either an asset or liability and measured at its fair value. The statement also requires that changes in the derivative’s fair value be recognized currently in earnings in either income (loss) from continuing operations or Accumulated other comprehensive income (loss), depending on whether the derivative qualifies for hedge accounting treatment.</w:t>
      </w:r>
    </w:p>
    <w:p>
      <w:pPr>
        <w:spacing w:after="0" w:line="46" w:lineRule="exact"/>
        <w:rPr>
          <w:sz w:val="20"/>
          <w:szCs w:val="20"/>
          <w:color w:val="auto"/>
        </w:rPr>
      </w:pPr>
    </w:p>
    <w:p>
      <w:pPr>
        <w:ind w:firstLine="267"/>
        <w:spacing w:after="0" w:line="290" w:lineRule="auto"/>
        <w:rPr>
          <w:sz w:val="20"/>
          <w:szCs w:val="20"/>
          <w:color w:val="auto"/>
        </w:rPr>
      </w:pPr>
      <w:r>
        <w:rPr>
          <w:rFonts w:ascii="Arial" w:cs="Arial" w:eastAsia="Arial" w:hAnsi="Arial"/>
          <w:sz w:val="16"/>
          <w:szCs w:val="16"/>
          <w:color w:val="auto"/>
        </w:rPr>
        <w:t>We use foreign currency forward contracts for the specific purpose of hedging the exposure to variability in forecasted cash flows associated primarily with inventory purchases mainly for our European businesses, royalty payments from our Japanese licensee, and other specific activities. These instruments are designated as cash flow hedges and, in accordance with SFAS No. 133, to the extent the hedges are highly effective, the changes in fair value are included in Accumulated other comprehensive income (loss), net of related tax effects, with the corresponding asset or liability recorded in the balance sheet. The ineffective portion of the cash flow hedge, if any, is recognized in current-period earnings. Amounts recorded in Accumulated other comprehensive income are reflected in current-period earnings when the hedged transaction affects earnings. If the relative values of the currencies involved in the hedging activities were to move dramatically, such movement could have a significant impact on our results of operations. We are not aware of any reasonably likely events or circumstances which would result in different amounts being reported that would materially affect our financial condition or results of operations.</w:t>
      </w:r>
    </w:p>
    <w:p>
      <w:pPr>
        <w:spacing w:after="0" w:line="58" w:lineRule="exact"/>
        <w:rPr>
          <w:sz w:val="20"/>
          <w:szCs w:val="20"/>
          <w:color w:val="auto"/>
        </w:rPr>
      </w:pPr>
    </w:p>
    <w:p>
      <w:pPr>
        <w:ind w:right="120" w:firstLine="270"/>
        <w:spacing w:after="0" w:line="259" w:lineRule="auto"/>
        <w:rPr>
          <w:sz w:val="20"/>
          <w:szCs w:val="20"/>
          <w:color w:val="auto"/>
        </w:rPr>
      </w:pPr>
      <w:r>
        <w:rPr>
          <w:rFonts w:ascii="Arial" w:cs="Arial" w:eastAsia="Arial" w:hAnsi="Arial"/>
          <w:sz w:val="18"/>
          <w:szCs w:val="18"/>
          <w:color w:val="auto"/>
        </w:rPr>
        <w:t>Hedge accounting requires that at inception and at the beginning of each hedge period, we justify an expectation that the hedge will be highly effective. This effectiveness assessment involves an estimation of the probability of the occurrence of transactions for cash flow hedges. The use of different assumptions and changing market conditions may impact the results of the effectiveness assessment and ultimately the timing of when changes in derivative fair values and underlying hedged items are recorded in earnings.</w:t>
      </w:r>
    </w:p>
    <w:p>
      <w:pPr>
        <w:spacing w:after="0" w:line="79" w:lineRule="exact"/>
        <w:rPr>
          <w:sz w:val="20"/>
          <w:szCs w:val="20"/>
          <w:color w:val="auto"/>
        </w:rPr>
      </w:pPr>
    </w:p>
    <w:p>
      <w:pPr>
        <w:jc w:val="both"/>
        <w:ind w:firstLine="267"/>
        <w:spacing w:after="0" w:line="259" w:lineRule="auto"/>
        <w:rPr>
          <w:sz w:val="20"/>
          <w:szCs w:val="20"/>
          <w:color w:val="auto"/>
        </w:rPr>
      </w:pPr>
      <w:r>
        <w:rPr>
          <w:rFonts w:ascii="Arial" w:cs="Arial" w:eastAsia="Arial" w:hAnsi="Arial"/>
          <w:sz w:val="18"/>
          <w:szCs w:val="18"/>
          <w:color w:val="auto"/>
        </w:rPr>
        <w:t>We hedge our net investment position in subsidiaries which conduct business in Euros by borrowing directly in foreign currency and designating a portion of our Euro denominated debt as a hedge of net investments. Under SFAS No. 133, changes in the fair value of these instruments are immediately recognized in foreign currency translation, a component of Accumulated other comprehensive income (loss), to offset the change in the value of the net investment being hedged.</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Inflation</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rate of inflation over the past few years has not had a significant impact on our sales or profitability.</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Our significant accounting policies are more fully described in Note 1 to Our Consolidated Financial Statements.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Alternative Accounting Methods</w:t>
      </w:r>
    </w:p>
    <w:p>
      <w:pPr>
        <w:spacing w:after="0" w:line="117" w:lineRule="exact"/>
        <w:rPr>
          <w:sz w:val="20"/>
          <w:szCs w:val="20"/>
          <w:color w:val="auto"/>
        </w:rPr>
      </w:pPr>
    </w:p>
    <w:p>
      <w:pPr>
        <w:ind w:right="720" w:firstLine="270"/>
        <w:spacing w:after="0" w:line="277" w:lineRule="auto"/>
        <w:rPr>
          <w:sz w:val="20"/>
          <w:szCs w:val="20"/>
          <w:color w:val="auto"/>
        </w:rPr>
      </w:pPr>
      <w:r>
        <w:rPr>
          <w:rFonts w:ascii="Arial" w:cs="Arial" w:eastAsia="Arial" w:hAnsi="Arial"/>
          <w:sz w:val="18"/>
          <w:szCs w:val="18"/>
          <w:color w:val="auto"/>
        </w:rPr>
        <w:t>In certain instances, accounting principles generally accepted in the United States allow for the selection of alternative accounting methods. Our significant policies that involve the selection of alternative methods are accounting for stock options and inventories.</w:t>
      </w:r>
    </w:p>
    <w:p>
      <w:pPr>
        <w:spacing w:after="0" w:line="62" w:lineRule="exact"/>
        <w:rPr>
          <w:sz w:val="20"/>
          <w:szCs w:val="20"/>
          <w:color w:val="auto"/>
        </w:rPr>
      </w:pPr>
    </w:p>
    <w:p>
      <w:pPr>
        <w:ind w:left="460" w:right="40" w:hanging="101"/>
        <w:spacing w:after="0" w:line="277"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Two alternative methods for accounting for stock options are available, the intrinsic value method and the fair value method. We use the intrinsic value method of accounting for stock options, and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accordingly, no compensation expense has been recognized. Beginning in Fiscal 2007, we will be required to expense the fair value of stock options granted to employees (see discussion below). Under the fair value method, the determination of the pro forma amounts involves several assumptions including option life and future volatility. If the fair value method were used, diluted earnings per share for Fiscal 2004 would decrease approximately 10%. See Note 1 to the Consolidated Financial Statements.</w:t>
      </w:r>
    </w:p>
    <w:p>
      <w:pPr>
        <w:spacing w:after="0" w:line="92" w:lineRule="exact"/>
        <w:rPr>
          <w:sz w:val="20"/>
          <w:szCs w:val="20"/>
          <w:color w:val="auto"/>
        </w:rPr>
      </w:pPr>
    </w:p>
    <w:p>
      <w:pPr>
        <w:ind w:left="460" w:right="240" w:hanging="101"/>
        <w:spacing w:after="0" w:line="264"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Two alternative methods for accounting for wholesale inventories are the First-In, First-Out (“FIFO”) method and the Last-in, First-out (“LIFO”) method. We account for all wholesale inventories under the FIFO method. Two alternative methods for accounting for retail inventories are the retail method and the cost method. We account for all retail inventories under the cost method.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0" w:firstLine="270"/>
        <w:spacing w:after="0" w:line="259" w:lineRule="auto"/>
        <w:rPr>
          <w:sz w:val="20"/>
          <w:szCs w:val="20"/>
          <w:color w:val="auto"/>
        </w:rPr>
      </w:pPr>
      <w:r>
        <w:rPr>
          <w:rFonts w:ascii="Arial" w:cs="Arial" w:eastAsia="Arial" w:hAnsi="Arial"/>
          <w:sz w:val="18"/>
          <w:szCs w:val="18"/>
          <w:color w:val="auto"/>
        </w:rPr>
        <w:t>In March 2005, the Financial Accounting Standards Board (“FASB”) issued Statement of Financial Accounting Standards Interpretation Number 47 (“FIN 47”), “Accounting for Conditional Asset Retirement Obligations.” FIN 47 provides clarification regarding the meaning of the term “conditional asset retirement obligation” as used in FASB 143, “Accounting for Asset Retirement Obligations.” We are currently evaluating the impact of FIN 47 on our financial statements.</w:t>
      </w:r>
    </w:p>
    <w:p>
      <w:pPr>
        <w:spacing w:after="0" w:line="79" w:lineRule="exact"/>
        <w:rPr>
          <w:sz w:val="20"/>
          <w:szCs w:val="20"/>
          <w:color w:val="auto"/>
        </w:rPr>
      </w:pPr>
    </w:p>
    <w:p>
      <w:pPr>
        <w:jc w:val="center"/>
        <w:ind w:right="100"/>
        <w:spacing w:after="0" w:line="312" w:lineRule="auto"/>
        <w:rPr>
          <w:sz w:val="20"/>
          <w:szCs w:val="20"/>
          <w:color w:val="auto"/>
        </w:rPr>
      </w:pPr>
      <w:r>
        <w:rPr>
          <w:rFonts w:ascii="Arial" w:cs="Arial" w:eastAsia="Arial" w:hAnsi="Arial"/>
          <w:sz w:val="16"/>
          <w:szCs w:val="16"/>
          <w:color w:val="auto"/>
        </w:rPr>
        <w:t>In December 2003, The Securities Exchange Commission issued Staff Accounting Bulletin No. 104 (“SAB 104”), “Revenue Recognition”. SAB 104 expands previously issued guidance on the subject of Revenue Recognition and provides specific criteria which must be fulfilled to permit the recognition of revenue from transactions. We do not expect the issuance of SAB 104 to have a material effect on the consolidated results of operations or financial position.</w:t>
      </w:r>
    </w:p>
    <w:p>
      <w:pPr>
        <w:spacing w:after="0" w:line="39" w:lineRule="exact"/>
        <w:rPr>
          <w:sz w:val="20"/>
          <w:szCs w:val="20"/>
          <w:color w:val="auto"/>
        </w:rPr>
      </w:pPr>
    </w:p>
    <w:p>
      <w:pPr>
        <w:ind w:firstLine="270"/>
        <w:spacing w:after="0" w:line="273" w:lineRule="auto"/>
        <w:rPr>
          <w:sz w:val="20"/>
          <w:szCs w:val="20"/>
          <w:color w:val="auto"/>
        </w:rPr>
      </w:pPr>
      <w:r>
        <w:rPr>
          <w:rFonts w:ascii="Arial" w:cs="Arial" w:eastAsia="Arial" w:hAnsi="Arial"/>
          <w:sz w:val="17"/>
          <w:szCs w:val="17"/>
          <w:color w:val="auto"/>
        </w:rPr>
        <w:t>In December 2004, the FASB issued Staff Position (“FSP”) No. 109-2, “Accounting and Disclosure Guidance for the Foreign Earnings Repatriation Provision within the American Jobs Creation Act of 2004” (“FSP No. 109-2”). FSP No. 109-2 provides guidance under SFAS No. 109, “Accounting for Income Taxes,” with respect to recording the potential impact of the repatriation provisions of the American Jobs Creation Act of 2004 (the “Jobs Act”) on enterprises’ income tax expense and deferred tax liability. FSP No. 109-2 states that an enterprise is allowed time beyond the financial reporting period of enactment to evaluate the effect of the Jobs Act on its plan for reinvestment or repatriation of foreign earnings for purposes of applying SFAS No. 109. We are currently evaluating the impact of FSP No. 109-2 on our consolidated financial statements.</w:t>
      </w:r>
    </w:p>
    <w:p>
      <w:pPr>
        <w:spacing w:after="0" w:line="70" w:lineRule="exact"/>
        <w:rPr>
          <w:sz w:val="20"/>
          <w:szCs w:val="20"/>
          <w:color w:val="auto"/>
        </w:rPr>
      </w:pPr>
    </w:p>
    <w:p>
      <w:pPr>
        <w:ind w:firstLine="270"/>
        <w:spacing w:after="0" w:line="271" w:lineRule="auto"/>
        <w:rPr>
          <w:sz w:val="20"/>
          <w:szCs w:val="20"/>
          <w:color w:val="auto"/>
        </w:rPr>
      </w:pPr>
      <w:r>
        <w:rPr>
          <w:rFonts w:ascii="Arial" w:cs="Arial" w:eastAsia="Arial" w:hAnsi="Arial"/>
          <w:sz w:val="17"/>
          <w:szCs w:val="17"/>
          <w:color w:val="auto"/>
        </w:rPr>
        <w:t>In December 2004, the FASB issued SFAS 123R, “Share-Based Payment,” a revision of FASB Statement No. 123. Under this standard, all forms of share-based payment to employees, including stock options, would be treated as compensation and recognized in the income statement. This proposed statement would be effective for awards granted, modified or settled in fiscal years beginning after June 15, 2005. We currently account for stock options under APB No. 25. The pro forma impact of expensing options, valued using the Black Scholes valuation model, is disclosed in Note 1 of Notes to Consolidated Financial Statements. The Company is currently researching the appropriate valuation model to use for stock options. In connection with the issuance of SFAS 123R, the Securities and Exchange Commission issued Staff Accounting Bulletin number 107 (“SAB 107”) in March of 2005. SAB 107 provides implementation guidance for companies to use in their adoption of SFAS 123R. We are currently evaluating the effect of SFAS 123R and SAB 107 on our financial statements with the intent of implementing this standard in Fiscal 2007.</w:t>
      </w:r>
    </w:p>
    <w:p>
      <w:pPr>
        <w:spacing w:after="0" w:line="71"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In December 2004, the FASB issued SFAS 153, “Exchanges of Nonmonetary Assets.” SFAS 153 is an amendment of Accounting Principles Board Opinion 29, “Accounting for Nonmonetary Transactions,” and eliminates certain narrow differences between APB 29 and international accounting standards. SFAS 153 is effective for fiscal periods beginning on or after June 15, 2005. The adoption of SFAS 153 is not expected to have a material impact on our financial statements.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In December 2004, the FASB issued SFAS 152, “Accounting for Real Estate Time Sharing Transactions.” SFAS 152 is an amendment of SFAS 66 and 67 and generally requires that real estate time sharing transactions be accounted for as non retail land sales. SFAS 152 is effective for fiscal years beginning on or after June 15, 2005. The adoption of SFAS 152 is not expected to have a material impact on our financial statements.</w:t>
      </w:r>
    </w:p>
    <w:p>
      <w:pPr>
        <w:spacing w:after="0" w:line="57" w:lineRule="exact"/>
        <w:rPr>
          <w:sz w:val="20"/>
          <w:szCs w:val="20"/>
          <w:color w:val="auto"/>
        </w:rPr>
      </w:pPr>
    </w:p>
    <w:p>
      <w:pPr>
        <w:ind w:right="240" w:firstLine="270"/>
        <w:spacing w:after="0" w:line="286" w:lineRule="auto"/>
        <w:rPr>
          <w:sz w:val="20"/>
          <w:szCs w:val="20"/>
          <w:color w:val="auto"/>
        </w:rPr>
      </w:pPr>
      <w:r>
        <w:rPr>
          <w:rFonts w:ascii="Arial" w:cs="Arial" w:eastAsia="Arial" w:hAnsi="Arial"/>
          <w:sz w:val="17"/>
          <w:szCs w:val="17"/>
          <w:color w:val="auto"/>
        </w:rPr>
        <w:t>In November 2004, the FASB issued SFAS 151, “Inventory costs.” SFAS 151 is an amendment of Accounting Research Board Opinion number 43 and sets standards for the treatment of abnormal amounts of idle facility expense, freight, handling costs and spoilage. SFAS 151 is effective for fiscal years beginning after June 15, 2004. We are currently evaluating the impact of SFAS 151 on our financial statements.</w:t>
      </w:r>
    </w:p>
    <w:p>
      <w:pPr>
        <w:spacing w:after="0" w:line="57" w:lineRule="exact"/>
        <w:rPr>
          <w:sz w:val="20"/>
          <w:szCs w:val="20"/>
          <w:color w:val="auto"/>
        </w:rPr>
      </w:pPr>
    </w:p>
    <w:p>
      <w:pPr>
        <w:ind w:right="100" w:firstLine="270"/>
        <w:spacing w:after="0" w:line="255" w:lineRule="auto"/>
        <w:rPr>
          <w:sz w:val="20"/>
          <w:szCs w:val="20"/>
          <w:color w:val="auto"/>
        </w:rPr>
      </w:pPr>
      <w:r>
        <w:rPr>
          <w:rFonts w:ascii="Arial" w:cs="Arial" w:eastAsia="Arial" w:hAnsi="Arial"/>
          <w:sz w:val="18"/>
          <w:szCs w:val="18"/>
          <w:color w:val="auto"/>
        </w:rPr>
        <w:t>In October 2004, the FASB Emerging Issue Task Force issued its abstract No. 04-01 (“EITF 04-01”) “Accounting for Pre-existing Relationships between the Parties to a Business Combination.” EITF 04-01 addresses the appropriate accounting treatment for portions of the acquisition costs of an entity which may be deemed to apply to Elements of a pre-existing business relationship between the acquiring company and the target company. EITF 04-01 is effective for combinations consummated after October 2004. It is therefore applicable to the pending Footwear acquisition discussed in Note 23. Historically, we had not assigned any value to pre-existing business relationships reacquired in purchase transactions. The adoption of EITF 04-01 has no effect on historical financial statements.</w:t>
      </w:r>
    </w:p>
    <w:p>
      <w:pPr>
        <w:spacing w:after="0" w:line="85" w:lineRule="exact"/>
        <w:rPr>
          <w:sz w:val="20"/>
          <w:szCs w:val="20"/>
          <w:color w:val="auto"/>
        </w:rPr>
      </w:pPr>
    </w:p>
    <w:p>
      <w:pPr>
        <w:jc w:val="both"/>
        <w:ind w:right="80" w:firstLine="270"/>
        <w:spacing w:after="0" w:line="288" w:lineRule="auto"/>
        <w:rPr>
          <w:sz w:val="20"/>
          <w:szCs w:val="20"/>
          <w:color w:val="auto"/>
        </w:rPr>
      </w:pPr>
      <w:r>
        <w:rPr>
          <w:rFonts w:ascii="Arial" w:cs="Arial" w:eastAsia="Arial" w:hAnsi="Arial"/>
          <w:sz w:val="16"/>
          <w:szCs w:val="16"/>
          <w:color w:val="auto"/>
        </w:rPr>
        <w:t>In January 2003, the FASB issued Financial Interpretation No. (“FIN”) 46, “Consolidation of Variable Interest Entities” which was amended by FIN 46R in December, 2003. A variable interest entity is a corporation, partnership, trust or any other legal structure used for business purposes that either (a) does not have equity investors with voting rights, or (b) has equity investors that do not provide sufficient financial resources for the entity to support its activities.</w:t>
      </w:r>
    </w:p>
    <w:p>
      <w:pPr>
        <w:ind w:right="80"/>
        <w:spacing w:after="0" w:line="268" w:lineRule="auto"/>
        <w:rPr>
          <w:sz w:val="20"/>
          <w:szCs w:val="20"/>
          <w:color w:val="auto"/>
        </w:rPr>
      </w:pPr>
      <w:r>
        <w:rPr>
          <w:rFonts w:ascii="Arial" w:cs="Arial" w:eastAsia="Arial" w:hAnsi="Arial"/>
          <w:sz w:val="17"/>
          <w:szCs w:val="17"/>
          <w:color w:val="auto"/>
        </w:rPr>
        <w:t>Historically, entities generally were not consolidated unless the entity was controlled through voting interests. FIN 46R changes that by requiring a variable interest entity to be consolidated by a company if that company is subject to a majority of the risk of loss from the variable interest entity’s activities or entitled to receive a majority of the entity’s residual returns or both. A company that consolidates a variable interest entity is called the “primary beneficiary” of that entity. FIN 46R also requires disclosures about variable interest entities that a company is not required to consolidate but in which it has a significant variable interest. The consolidation requirements of FIN 46R apply immediately to variable interest entities created after January 31, 2003. The consolidation requirements of FIN 46R apply to existing entities in the first fiscal year or interim period beginning after December 15, 2003. Also, certain disclosure requirements apply to all financial statements issued after January 31, 2003, regardless of when the variable interest entity was established. The adoption of FIN 46R required us to consolidate the assets and liabilities of RL Media. See Notes 2 and 4 to consolidated financial statements regarding Ralph Lauren Media consolidation and our interest in Ralph Lauren Media, LLC.</w:t>
      </w:r>
    </w:p>
    <w:p>
      <w:pPr>
        <w:spacing w:after="0" w:line="1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right="340" w:firstLine="267"/>
        <w:spacing w:after="0" w:line="277" w:lineRule="auto"/>
        <w:rPr>
          <w:sz w:val="20"/>
          <w:szCs w:val="20"/>
          <w:color w:val="auto"/>
        </w:rPr>
      </w:pPr>
      <w:r>
        <w:rPr>
          <w:rFonts w:ascii="Arial" w:cs="Arial" w:eastAsia="Arial" w:hAnsi="Arial"/>
          <w:sz w:val="18"/>
          <w:szCs w:val="18"/>
          <w:color w:val="auto"/>
        </w:rPr>
        <w:t>The market risk inherent in our financial instruments represents the potential loss in fair value, earnings or cash flows arising from adverse changes in interest rates or foreign currency exchange rates.</w:t>
      </w:r>
    </w:p>
    <w:p>
      <w:pPr>
        <w:spacing w:after="0" w:line="62" w:lineRule="exact"/>
        <w:rPr>
          <w:sz w:val="20"/>
          <w:szCs w:val="20"/>
          <w:color w:val="auto"/>
        </w:rPr>
      </w:pPr>
    </w:p>
    <w:p>
      <w:pPr>
        <w:ind w:right="240" w:firstLine="267"/>
        <w:spacing w:after="0" w:line="342" w:lineRule="auto"/>
        <w:rPr>
          <w:sz w:val="20"/>
          <w:szCs w:val="20"/>
          <w:color w:val="auto"/>
        </w:rPr>
      </w:pPr>
      <w:r>
        <w:rPr>
          <w:rFonts w:ascii="Arial" w:cs="Arial" w:eastAsia="Arial" w:hAnsi="Arial"/>
          <w:sz w:val="16"/>
          <w:szCs w:val="16"/>
          <w:color w:val="auto"/>
        </w:rPr>
        <w:t>We manage these exposures through operating and financing activities and, when appropriate, through the use of derivative financial instruments. Our policy allows for the use of derivative financial instruments for identifiable market risk exposures, including interest rate and foreign currency fluctuations.</w:t>
      </w:r>
    </w:p>
    <w:p>
      <w:pPr>
        <w:spacing w:after="0" w:line="16" w:lineRule="exact"/>
        <w:rPr>
          <w:sz w:val="20"/>
          <w:szCs w:val="20"/>
          <w:color w:val="auto"/>
        </w:rPr>
      </w:pPr>
    </w:p>
    <w:p>
      <w:pPr>
        <w:ind w:right="120" w:firstLine="270"/>
        <w:spacing w:after="0" w:line="255" w:lineRule="auto"/>
        <w:rPr>
          <w:sz w:val="20"/>
          <w:szCs w:val="20"/>
          <w:color w:val="auto"/>
        </w:rPr>
      </w:pPr>
      <w:r>
        <w:rPr>
          <w:rFonts w:ascii="Arial" w:cs="Arial" w:eastAsia="Arial" w:hAnsi="Arial"/>
          <w:sz w:val="18"/>
          <w:szCs w:val="18"/>
          <w:color w:val="auto"/>
        </w:rPr>
        <w:t>During Fiscal 2005, there were significant fluctuations in the value of the Euro to Dollar exchange rate. In June 2002, we entered into a cross currency rate swap to minimize the impact of foreign exchange fluctuations on the long-term Euro debt and the impact of fluctuations in the interest rate on the fair value of the long-term Euro debt. In May 2003, we terminated the cross currency rate swap, and entered into an interest rate swap, to minimize the impact of changes in the fair value of the Euro debt due to changes in EURIBOR, the benchmark interest rate. The following quantitative disclosures are based on quoted market prices and theoretical pricing models obtained through independent pricing sources for the same or similar types of financial instruments, taking into consideration the underlying terms and maturities. These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quantitative disclosures do not represent the maximum possible loss or any expected loss that may occur, since actual results may differ from those estimates.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Foreign Currency Exchange Rates</w:t>
      </w:r>
    </w:p>
    <w:p>
      <w:pPr>
        <w:spacing w:after="0" w:line="117" w:lineRule="exact"/>
        <w:rPr>
          <w:sz w:val="20"/>
          <w:szCs w:val="20"/>
          <w:color w:val="auto"/>
        </w:rPr>
      </w:pPr>
    </w:p>
    <w:p>
      <w:pPr>
        <w:ind w:right="100" w:firstLine="267"/>
        <w:spacing w:after="0" w:line="293" w:lineRule="auto"/>
        <w:rPr>
          <w:sz w:val="20"/>
          <w:szCs w:val="20"/>
          <w:color w:val="auto"/>
        </w:rPr>
      </w:pPr>
      <w:r>
        <w:rPr>
          <w:rFonts w:ascii="Arial" w:cs="Arial" w:eastAsia="Arial" w:hAnsi="Arial"/>
          <w:sz w:val="16"/>
          <w:szCs w:val="16"/>
          <w:color w:val="auto"/>
        </w:rPr>
        <w:t>We are exposed to market risk related to changes in foreign currency exchange rates. We have assets and liabilities denominated in certain foreign currencies related to international subsidiaries. At April 2, 2005, we had the following foreign exchange contracts outstanding: (i) to deliver €94.3 million in exchange for $124.3 million through Fiscal 2005 and (ii) to deliver ¥11,389 million in exchange for $99.6 million through Fiscal 2008. We believe that these financial instruments should not subject us to undue risk due to foreign exchange movements because gains and losses on these contracts should offset losses and gains on the assets, liabilities, and transactions being hedged. We are exposed to credit-related losses if the counterparty to the financial instruments fails to perform its obligations. However, we do not expect the counterparty, which presently has high credit ratings, to fail to meet its obligations.</w:t>
      </w:r>
    </w:p>
    <w:p>
      <w:pPr>
        <w:spacing w:after="0" w:line="57" w:lineRule="exact"/>
        <w:rPr>
          <w:sz w:val="20"/>
          <w:szCs w:val="20"/>
          <w:color w:val="auto"/>
        </w:rPr>
      </w:pPr>
    </w:p>
    <w:p>
      <w:pPr>
        <w:ind w:right="40" w:firstLine="270"/>
        <w:spacing w:after="0" w:line="257" w:lineRule="auto"/>
        <w:rPr>
          <w:sz w:val="20"/>
          <w:szCs w:val="20"/>
          <w:color w:val="auto"/>
        </w:rPr>
      </w:pPr>
      <w:r>
        <w:rPr>
          <w:rFonts w:ascii="Arial" w:cs="Arial" w:eastAsia="Arial" w:hAnsi="Arial"/>
          <w:sz w:val="18"/>
          <w:szCs w:val="18"/>
          <w:color w:val="auto"/>
        </w:rPr>
        <w:t>Our primary foreign currency exposure relates to our Euro debt. As of April 2, 2005, the fair value of our fixed Euro debt was $306.9 million, based on its quoted market price as listed on the London Stock exchange and translated using Euro exchange rates in effect as of April 2, 2005. The potential increase in fair value of our fixed rate Euro debt resulting from a hypothetical 10% adverse change in exchange rates would have been approximately $30.7 million at April 2, 2005. As of April 2, 2005, a hypothetical immediate 10% adverse change in exchange rates would have had a $6.5 million unfavorable impact over a one-year period on our earnings and cash flows.</w:t>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Rates</w:t>
      </w:r>
    </w:p>
    <w:p>
      <w:pPr>
        <w:spacing w:after="0" w:line="117" w:lineRule="exact"/>
        <w:rPr>
          <w:sz w:val="20"/>
          <w:szCs w:val="20"/>
          <w:color w:val="auto"/>
        </w:rPr>
      </w:pPr>
    </w:p>
    <w:p>
      <w:pPr>
        <w:ind w:right="60" w:firstLine="270"/>
        <w:spacing w:after="0" w:line="276" w:lineRule="auto"/>
        <w:rPr>
          <w:sz w:val="20"/>
          <w:szCs w:val="20"/>
          <w:color w:val="auto"/>
        </w:rPr>
      </w:pPr>
      <w:r>
        <w:rPr>
          <w:rFonts w:ascii="Arial" w:cs="Arial" w:eastAsia="Arial" w:hAnsi="Arial"/>
          <w:sz w:val="17"/>
          <w:szCs w:val="17"/>
          <w:color w:val="auto"/>
        </w:rPr>
        <w:t>Our primary interest rate exposure relates to our fixed rate debt. The potential decrease in fair value of our fixed rate Euro debt resulting from a hypothetical 10% adverse change in interest rates would have been approximately $4.5 million at April 2, 2005. We employ a fair value hedging strategy utilizing interest rate swaps to effectively float a portion of our interest rate exposure on our fixed rate Euro debt. On April 6, 2004 and October 4, 2004, the company executed interest rate swaps to convert the fixed interest rate on an additional total of Euro 100 million of the Eurobonds to a floating rate. After the execution of this swap, approximately €22 million of Eurobonds remained at fixed interest rate.</w:t>
      </w:r>
    </w:p>
    <w:p>
      <w:pPr>
        <w:spacing w:after="0" w:line="6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See the “Index to Consolidated Financial Statements” appearing at the end of this report on Form 10-K.</w:t>
      </w:r>
    </w:p>
    <w:p>
      <w:pPr>
        <w:spacing w:after="0" w:line="11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121" w:lineRule="exact"/>
        <w:rPr>
          <w:sz w:val="20"/>
          <w:szCs w:val="20"/>
          <w:color w:val="auto"/>
        </w:rPr>
      </w:pPr>
    </w:p>
    <w:p>
      <w:pPr>
        <w:ind w:firstLine="270"/>
        <w:spacing w:after="0" w:line="273" w:lineRule="auto"/>
        <w:rPr>
          <w:sz w:val="20"/>
          <w:szCs w:val="20"/>
          <w:color w:val="auto"/>
        </w:rPr>
      </w:pPr>
      <w:r>
        <w:rPr>
          <w:rFonts w:ascii="Arial" w:cs="Arial" w:eastAsia="Arial" w:hAnsi="Arial"/>
          <w:sz w:val="17"/>
          <w:szCs w:val="17"/>
          <w:color w:val="auto"/>
        </w:rPr>
        <w:t>Disclosure Controls and procedures are the controls and other procedures of an issuer that are designed to provide reasonable assurance that information required to be disclosed by the issuer in the reports that it files or submits under the Securities Exchange Act of 1934 is recorded, processed, summarized and reported with the time period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Act is accumulated and communicated to the issuer’s management, including its principal executive and principal financial officers, or persons performing similar functions, as appropriate to allow timely decisions regarding required disclosure.</w:t>
      </w:r>
    </w:p>
    <w:p>
      <w:pPr>
        <w:spacing w:after="0" w:line="70" w:lineRule="exact"/>
        <w:rPr>
          <w:sz w:val="20"/>
          <w:szCs w:val="20"/>
          <w:color w:val="auto"/>
        </w:rPr>
      </w:pPr>
    </w:p>
    <w:p>
      <w:pPr>
        <w:ind w:right="20" w:firstLine="267"/>
        <w:spacing w:after="0" w:line="259" w:lineRule="auto"/>
        <w:rPr>
          <w:sz w:val="20"/>
          <w:szCs w:val="20"/>
          <w:color w:val="auto"/>
        </w:rPr>
      </w:pPr>
      <w:r>
        <w:rPr>
          <w:rFonts w:ascii="Arial" w:cs="Arial" w:eastAsia="Arial" w:hAnsi="Arial"/>
          <w:sz w:val="18"/>
          <w:szCs w:val="18"/>
          <w:color w:val="auto"/>
        </w:rPr>
        <w:t>We have evaluated, under the supervision and with the participation of our management, including our Chief Executive officer and Chief Financial Officer, the effectiveness of our disclosure controls and procedures, as defined in Rules 13a-15(e) and 15d-15(e) of the Securities Exchange Act of 1934, as of the end of the fiscal year covered by this annual report. Based on that evaluation, our Chief Executive Officer and Chief Financial Officer have concluded that the Company’s disclosure controls and procedures were not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effective as of the fiscal year end covered by this annual report due to the material weakness in the Company’s internal control over financial reporting described below in management’s report on internal control over financial reporting.</w:t>
      </w:r>
    </w:p>
    <w:p>
      <w:pPr>
        <w:spacing w:after="0" w:line="5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(b) Management’s Report of Internal Control Over Financial Reporting</w:t>
      </w:r>
    </w:p>
    <w:p>
      <w:pPr>
        <w:spacing w:after="0" w:line="121" w:lineRule="exact"/>
        <w:rPr>
          <w:sz w:val="20"/>
          <w:szCs w:val="20"/>
          <w:color w:val="auto"/>
        </w:rPr>
      </w:pPr>
    </w:p>
    <w:p>
      <w:pPr>
        <w:ind w:right="320" w:firstLine="270"/>
        <w:spacing w:after="0" w:line="312"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defined in Securities Exchange Act Rule 13a-15(f). Internal control over financial reporting is designed to provide reasonable assurance regarding the reliability of financial reporting and preparation of financial statements for external purposes in accordance with U.S. Generally Accepted Accounting Principles.</w:t>
      </w:r>
    </w:p>
    <w:p>
      <w:pPr>
        <w:spacing w:after="0" w:line="39" w:lineRule="exact"/>
        <w:rPr>
          <w:sz w:val="20"/>
          <w:szCs w:val="20"/>
          <w:color w:val="auto"/>
        </w:rPr>
      </w:pPr>
    </w:p>
    <w:p>
      <w:pPr>
        <w:ind w:firstLine="270"/>
        <w:spacing w:after="0" w:line="270" w:lineRule="auto"/>
        <w:rPr>
          <w:sz w:val="20"/>
          <w:szCs w:val="20"/>
          <w:color w:val="auto"/>
        </w:rPr>
      </w:pPr>
      <w:r>
        <w:rPr>
          <w:rFonts w:ascii="Arial" w:cs="Arial" w:eastAsia="Arial" w:hAnsi="Arial"/>
          <w:sz w:val="17"/>
          <w:szCs w:val="17"/>
          <w:color w:val="auto"/>
        </w:rPr>
        <w:t xml:space="preserve">Under the supervision and with the participation of our management, including our Chief Executive Officer and Chief Financial Officer, we conducted an evaluation of the design and effectiveness of our internal control over financial reporting as of the end of the fiscal year covered by this report based on the framework issued by the Committee of Sponsoring Organizations of the Treadway Commission (“COSO”)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We excluded from our assessment the internal control over financial reporting at our Childrenswear, business which was acquired effective July 2, 2004 and whose financial statements reflect total assets, net sales and operating income constituting 18%, 5% and 13% of our consolidated total assets, net revenues and operating income, respectively, as of and for the fiscal year ended April 2, 2005. Based on this evaluation, management concluded that as of April 2, 2005, the Company did not maintain effective internal control over financial reporting as there was more than a remote likelihood that a material misstatement of the Company’s annual or interim financial statements with respect to income taxes would not be prevented or detected, on a timely basis, by Company employees in the normal course of performing their assigned functions.</w:t>
      </w:r>
    </w:p>
    <w:p>
      <w:pPr>
        <w:spacing w:after="0" w:line="74" w:lineRule="exact"/>
        <w:rPr>
          <w:sz w:val="20"/>
          <w:szCs w:val="20"/>
          <w:color w:val="auto"/>
        </w:rPr>
      </w:pPr>
    </w:p>
    <w:p>
      <w:pPr>
        <w:ind w:right="20" w:firstLine="267"/>
        <w:spacing w:after="0" w:line="289" w:lineRule="auto"/>
        <w:rPr>
          <w:sz w:val="20"/>
          <w:szCs w:val="20"/>
          <w:color w:val="auto"/>
        </w:rPr>
      </w:pPr>
      <w:r>
        <w:rPr>
          <w:rFonts w:ascii="Arial" w:cs="Arial" w:eastAsia="Arial" w:hAnsi="Arial"/>
          <w:sz w:val="16"/>
          <w:szCs w:val="16"/>
          <w:color w:val="auto"/>
        </w:rPr>
        <w:t>This control deficiency, which management determined to be a material weakness under the Public Company Accounting Oversight Board’s Auditing Standard No. 2, results from not having adequate resources with expertise in matters relating to the accounting for income taxes. Specifically, our controls related to the preparation and review of our income tax provision failed to prevent or detect errors in calculating the income tax provision and deferred income tax and income tax payable balances for the year ended April 2, 2005, which were identified by Deloitte &amp; Touche, LLP, our independent registered public accounting firm. We determined that our personnel responsible for performing and reviewing the income tax provision calculation and related disclosures lack the necessary expertise and resources to evaluate in a timely manner the tax implications of certain non-routine transactions and new state and federal tax legislation and to complete a comprehensive and timely review of the income tax accounts. Prior to the completion of the audit, material adjustments were necessary to the income tax provision, current taxes payable, certain deferred tax assets and liabilities and required tax footnote disclosures to present the annual financial statements for the year ended April 2, 2005 in accordance with generally accepted accounting principles.</w:t>
      </w:r>
    </w:p>
    <w:p>
      <w:pPr>
        <w:spacing w:after="0" w:line="59"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Because of the material weakness described above, our management believes that, as of April 2, 2005, we did not maintain effective internal control over financial reporting based on the COSO criteria.</w:t>
      </w:r>
    </w:p>
    <w:p>
      <w:pPr>
        <w:spacing w:after="0" w:line="62" w:lineRule="exact"/>
        <w:rPr>
          <w:sz w:val="20"/>
          <w:szCs w:val="20"/>
          <w:color w:val="auto"/>
        </w:rPr>
      </w:pPr>
    </w:p>
    <w:p>
      <w:pPr>
        <w:ind w:right="120" w:firstLine="270"/>
        <w:spacing w:after="0" w:line="264" w:lineRule="auto"/>
        <w:rPr>
          <w:sz w:val="20"/>
          <w:szCs w:val="20"/>
          <w:color w:val="auto"/>
        </w:rPr>
      </w:pPr>
      <w:r>
        <w:rPr>
          <w:rFonts w:ascii="Arial" w:cs="Arial" w:eastAsia="Arial" w:hAnsi="Arial"/>
          <w:sz w:val="18"/>
          <w:szCs w:val="18"/>
          <w:color w:val="auto"/>
        </w:rPr>
        <w:t>Management’s assessment of the effectiveness of internal control over financial reporting as of April 2, 2005 was audited by Deloitte &amp; Touche LLP, an independent registered public accounting firm, as stated in their report, which is included in this Annual Report on Form 10-K and incorporated herein by reference to the 2005 Annual Report to Shareholders.</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 Changes in internal controls over financial reporting</w:t>
      </w:r>
    </w:p>
    <w:p>
      <w:pPr>
        <w:spacing w:after="0" w:line="121" w:lineRule="exact"/>
        <w:rPr>
          <w:sz w:val="20"/>
          <w:szCs w:val="20"/>
          <w:color w:val="auto"/>
        </w:rPr>
      </w:pPr>
    </w:p>
    <w:p>
      <w:pPr>
        <w:ind w:right="140" w:firstLine="267"/>
        <w:spacing w:after="0" w:line="276" w:lineRule="auto"/>
        <w:rPr>
          <w:sz w:val="20"/>
          <w:szCs w:val="20"/>
          <w:color w:val="auto"/>
        </w:rPr>
      </w:pPr>
      <w:r>
        <w:rPr>
          <w:rFonts w:ascii="Arial" w:cs="Arial" w:eastAsia="Arial" w:hAnsi="Arial"/>
          <w:sz w:val="17"/>
          <w:szCs w:val="17"/>
          <w:color w:val="auto"/>
        </w:rPr>
        <w:t>The Company made no changes in its internal control over financial reporting during the fourth quarter of the fiscal year covered by this report in connection with its assessment that would materially affect its internal control over financial reporting. Subsequent to April 2, 2005, the Company hired a new Vice President of Tax and will be hiring additional full time tax accounting staff with strong tax technical and Statement of Financial Accounting Standards Number 109 skills. The Company intends to implement an ongoing training program to enhance the abilities of internal tax personnel. A detailed policy to ensure the accuracy of tax calculations and that all income tax accounts are properly reconciled will be implemented.</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and Executive Officers of the Registrant</w:t>
      </w:r>
    </w:p>
    <w:p>
      <w:pPr>
        <w:spacing w:after="0" w:line="121" w:lineRule="exact"/>
        <w:rPr>
          <w:sz w:val="20"/>
          <w:szCs w:val="20"/>
          <w:color w:val="auto"/>
        </w:rPr>
      </w:pPr>
    </w:p>
    <w:p>
      <w:pPr>
        <w:ind w:right="60" w:firstLine="270"/>
        <w:spacing w:after="0" w:line="257" w:lineRule="auto"/>
        <w:rPr>
          <w:sz w:val="20"/>
          <w:szCs w:val="20"/>
          <w:color w:val="auto"/>
        </w:rPr>
      </w:pPr>
      <w:r>
        <w:rPr>
          <w:rFonts w:ascii="Arial" w:cs="Arial" w:eastAsia="Arial" w:hAnsi="Arial"/>
          <w:sz w:val="18"/>
          <w:szCs w:val="18"/>
          <w:color w:val="auto"/>
        </w:rPr>
        <w:t>Information relating to our directors will be set forth under the captions “(Proposal 1) ELECTION OF DIRECTORS,” “CORPORATE GOVERNANCE — Independent Committees of the Board” and “SECTION 16(A) BENEFICIAL OWNERSHIP REPORTING COMPLIANCE” in the Company’s proxy statement for it’s 2005 annual meeting of stockholders (to be filed within 120 days after April 2, 2005 (“the Proxy Statement”)) and is incorporated by reference herein. Information relating to our executive officers is set forth in Item I of this report on Form 10-K under the caption “Executive Officers”.</w:t>
      </w:r>
    </w:p>
    <w:p>
      <w:pPr>
        <w:spacing w:after="0" w:line="80" w:lineRule="exact"/>
        <w:rPr>
          <w:sz w:val="20"/>
          <w:szCs w:val="20"/>
          <w:color w:val="auto"/>
        </w:rPr>
      </w:pPr>
    </w:p>
    <w:p>
      <w:pPr>
        <w:ind w:right="240" w:firstLine="267"/>
        <w:spacing w:after="0" w:line="257" w:lineRule="auto"/>
        <w:rPr>
          <w:sz w:val="20"/>
          <w:szCs w:val="20"/>
          <w:color w:val="auto"/>
        </w:rPr>
      </w:pPr>
      <w:r>
        <w:rPr>
          <w:rFonts w:ascii="Arial" w:cs="Arial" w:eastAsia="Arial" w:hAnsi="Arial"/>
          <w:sz w:val="18"/>
          <w:szCs w:val="18"/>
          <w:color w:val="auto"/>
        </w:rPr>
        <w:t>The Company has a Code of Ethics for Principal Executive Officers and Senior Financial Officers that applies to our principal executive officer, our principal operating officer, our principal financial officer, our controller, and our principal accounting officer. You can find our Code of Ethics for Principal Executive Officers and Senior Financial Officers on our internet site, http://investor.polo.com. We will post any amendments to the Code of Ethics for Principal Executive Officers and Senior Financial Officers and any waivers that are required to be disclosed by the rules of either the SEC or the NYSE on our internet site.</w:t>
      </w:r>
    </w:p>
    <w:p>
      <w:pPr>
        <w:spacing w:after="0" w:line="18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21" w:lineRule="exact"/>
        <w:rPr>
          <w:sz w:val="20"/>
          <w:szCs w:val="20"/>
          <w:color w:val="auto"/>
        </w:rPr>
      </w:pPr>
    </w:p>
    <w:p>
      <w:pPr>
        <w:ind w:right="140" w:firstLine="270"/>
        <w:spacing w:after="0" w:line="264" w:lineRule="auto"/>
        <w:rPr>
          <w:sz w:val="20"/>
          <w:szCs w:val="20"/>
          <w:color w:val="auto"/>
        </w:rPr>
      </w:pPr>
      <w:r>
        <w:rPr>
          <w:rFonts w:ascii="Arial" w:cs="Arial" w:eastAsia="Arial" w:hAnsi="Arial"/>
          <w:sz w:val="18"/>
          <w:szCs w:val="18"/>
          <w:color w:val="auto"/>
        </w:rPr>
        <w:t>Information relating to executive and director compensation will be set forth under the captions “EXECUTIVE COMPENSATION,” “CORPORATE GOVERNANCE — Compensation of Directors” and “STOCK PERFORMANCE CHART” in the Proxy Statement and such information is incorporated by reference herein.</w:t>
      </w:r>
    </w:p>
    <w:p>
      <w:pPr>
        <w:spacing w:after="0" w:line="1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Equity Compensation Plan Information at April 2, 2005.</w:t>
      </w:r>
    </w:p>
    <w:p>
      <w:pPr>
        <w:spacing w:after="0" w:line="117" w:lineRule="exact"/>
        <w:rPr>
          <w:sz w:val="20"/>
          <w:szCs w:val="20"/>
          <w:color w:val="auto"/>
        </w:rPr>
      </w:pPr>
    </w:p>
    <w:p>
      <w:pPr>
        <w:ind w:right="160" w:firstLine="267"/>
        <w:spacing w:after="0" w:line="277" w:lineRule="auto"/>
        <w:rPr>
          <w:sz w:val="20"/>
          <w:szCs w:val="20"/>
          <w:color w:val="auto"/>
        </w:rPr>
      </w:pPr>
      <w:r>
        <w:rPr>
          <w:rFonts w:ascii="Arial" w:cs="Arial" w:eastAsia="Arial" w:hAnsi="Arial"/>
          <w:sz w:val="18"/>
          <w:szCs w:val="18"/>
          <w:color w:val="auto"/>
        </w:rPr>
        <w:t>The following table sets forth information as of April 2, 2005 regarding compensation plans under which the Company’s equity securities are authorized for issuance.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(a)</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rPr>
              <w:t>(b)</w:t>
            </w:r>
          </w:p>
        </w:tc>
        <w:tc>
          <w:tcPr>
            <w:tcW w:w="27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2"/>
              </w:rPr>
              <w:t>Numbers of</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19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2"/>
              </w:rPr>
              <w:t>Number of Securities</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to be Issued upon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2"/>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Exercise of</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2"/>
            <w:vMerge w:val="restart"/>
          </w:tcPr>
          <w:p>
            <w:pPr>
              <w:jc w:val="center"/>
              <w:ind w:right="1120"/>
              <w:spacing w:after="0"/>
              <w:rPr>
                <w:sz w:val="20"/>
                <w:szCs w:val="20"/>
                <w:color w:val="auto"/>
              </w:rPr>
            </w:pPr>
            <w:r>
              <w:rPr>
                <w:rFonts w:ascii="Arial" w:cs="Arial" w:eastAsia="Arial" w:hAnsi="Arial"/>
                <w:sz w:val="14"/>
                <w:szCs w:val="14"/>
                <w:b w:val="1"/>
                <w:bCs w:val="1"/>
                <w:color w:val="auto"/>
                <w:w w:val="92"/>
              </w:rPr>
              <w:t>Weighted-Average</w:t>
            </w:r>
          </w:p>
        </w:tc>
        <w:tc>
          <w:tcPr>
            <w:tcW w:w="27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2"/>
            <w:vMerge w:val="continue"/>
          </w:tcPr>
          <w:p>
            <w:pPr>
              <w:spacing w:after="0"/>
              <w:rPr>
                <w:sz w:val="12"/>
                <w:szCs w:val="12"/>
                <w:color w:val="auto"/>
              </w:rPr>
            </w:pPr>
          </w:p>
        </w:tc>
        <w:tc>
          <w:tcPr>
            <w:tcW w:w="27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32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Options, Warrants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7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78"/>
        </w:trPr>
        <w:tc>
          <w:tcPr>
            <w:tcW w:w="3240" w:type="dxa"/>
            <w:vAlign w:val="bottom"/>
            <w:gridSpan w:val="4"/>
            <w:vMerge w:val="continue"/>
          </w:tcPr>
          <w:p>
            <w:pPr>
              <w:spacing w:after="0"/>
              <w:rPr>
                <w:sz w:val="15"/>
                <w:szCs w:val="15"/>
                <w:color w:val="auto"/>
              </w:rPr>
            </w:pPr>
          </w:p>
        </w:tc>
        <w:tc>
          <w:tcPr>
            <w:tcW w:w="23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and Rights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3"/>
              </w:rPr>
              <w:t>Outstanding Options ($)</w:t>
            </w:r>
          </w:p>
        </w:tc>
        <w:tc>
          <w:tcPr>
            <w:tcW w:w="27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7"/>
              </w:rPr>
              <w:t>Column (a))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Borders>
              <w:top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Equity compensation plans approved by</w:t>
            </w:r>
          </w:p>
        </w:tc>
        <w:tc>
          <w:tcPr>
            <w:tcW w:w="240" w:type="dxa"/>
            <w:vAlign w:val="bottom"/>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security holders</w:t>
            </w:r>
          </w:p>
        </w:tc>
        <w:tc>
          <w:tcPr>
            <w:tcW w:w="2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10,503,190(1)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25.68(2)</w:t>
            </w:r>
          </w:p>
        </w:tc>
        <w:tc>
          <w:tcPr>
            <w:tcW w:w="27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8,772,226(3)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gridSpan w:val="3"/>
          </w:tcPr>
          <w:p>
            <w:pPr>
              <w:spacing w:after="0" w:line="201" w:lineRule="exact"/>
              <w:rPr>
                <w:sz w:val="20"/>
                <w:szCs w:val="20"/>
                <w:color w:val="auto"/>
              </w:rPr>
            </w:pPr>
            <w:r>
              <w:rPr>
                <w:rFonts w:ascii="Arial" w:cs="Arial" w:eastAsia="Arial" w:hAnsi="Arial"/>
                <w:sz w:val="18"/>
                <w:szCs w:val="18"/>
                <w:color w:val="auto"/>
                <w:w w:val="98"/>
              </w:rPr>
              <w:t>Equity compensation plans not approved</w:t>
            </w:r>
          </w:p>
        </w:tc>
        <w:tc>
          <w:tcPr>
            <w:tcW w:w="1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gridSpan w:val="3"/>
          </w:tcPr>
          <w:p>
            <w:pPr>
              <w:ind w:left="120"/>
              <w:spacing w:after="0"/>
              <w:rPr>
                <w:sz w:val="20"/>
                <w:szCs w:val="20"/>
                <w:color w:val="auto"/>
              </w:rPr>
            </w:pPr>
            <w:r>
              <w:rPr>
                <w:rFonts w:ascii="Arial" w:cs="Arial" w:eastAsia="Arial" w:hAnsi="Arial"/>
                <w:sz w:val="18"/>
                <w:szCs w:val="18"/>
                <w:color w:val="auto"/>
              </w:rPr>
              <w:t>by security holders</w:t>
            </w:r>
          </w:p>
        </w:tc>
        <w:tc>
          <w:tcPr>
            <w:tcW w:w="2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10,503,190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25.68</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8,772,226</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60" w:right="180" w:hanging="452"/>
        <w:spacing w:after="0" w:line="277"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of 9,626,000 options to purchase shares of our Class A Common Stock and 877,190 restricted stock units that are payable solely in shares of Class A Common Stock. Does not include 284,574 outstanding restricted shares that are subject to forfeiture.</w:t>
      </w:r>
    </w:p>
    <w:p>
      <w:pPr>
        <w:spacing w:after="0" w:line="21" w:lineRule="exact"/>
        <w:rPr>
          <w:rFonts w:ascii="Arial" w:cs="Arial" w:eastAsia="Arial" w:hAnsi="Arial"/>
          <w:sz w:val="18"/>
          <w:szCs w:val="18"/>
          <w:color w:val="auto"/>
        </w:rPr>
      </w:pPr>
    </w:p>
    <w:p>
      <w:pPr>
        <w:ind w:left="460" w:right="120" w:hanging="452"/>
        <w:spacing w:after="0" w:line="277"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the weighted average exercise price of the outstanding stock options. No exercise price is payable with respect to the outstanding restricted stock units.</w:t>
      </w:r>
    </w:p>
    <w:p>
      <w:pPr>
        <w:spacing w:after="0" w:line="21" w:lineRule="exact"/>
        <w:rPr>
          <w:rFonts w:ascii="Arial" w:cs="Arial" w:eastAsia="Arial" w:hAnsi="Arial"/>
          <w:sz w:val="18"/>
          <w:szCs w:val="18"/>
          <w:color w:val="auto"/>
        </w:rPr>
      </w:pPr>
    </w:p>
    <w:p>
      <w:pPr>
        <w:ind w:left="460" w:right="220" w:hanging="452"/>
        <w:spacing w:after="0" w:line="302"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All of the securities remaining available for future issuance set forth in column (c) may be in the form of options, stock appreciation rights, restricted stock, restricted stock units, performance awards or other stock-based awards under the Company’s Amended and Restated 1997 Long-Term Stock Incentive Plan or 1997 stock option plan for non-employee directors. An additional 284,574 outstanding shares of restricted stock granted under the Company’s Amended and Restated 1997 Long-Term Stock Incentive Plan that remain subject to forfeiture are not reflected in column (c).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Other information relating to security ownership of certain beneficial owners and management will be set forth under the caption “SECURITY OWNERSHIP OF CERTAIN OWNERS AND MANAGEMENT” in the Proxy Statement and such information is incorporated by reference herein.</w:t>
      </w:r>
    </w:p>
    <w:p>
      <w:pPr>
        <w:spacing w:after="0" w:line="14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121" w:lineRule="exact"/>
        <w:rPr>
          <w:sz w:val="20"/>
          <w:szCs w:val="20"/>
          <w:color w:val="auto"/>
        </w:rPr>
      </w:pPr>
    </w:p>
    <w:p>
      <w:pPr>
        <w:ind w:right="1160" w:firstLine="267"/>
        <w:spacing w:after="0" w:line="277" w:lineRule="auto"/>
        <w:rPr>
          <w:sz w:val="20"/>
          <w:szCs w:val="20"/>
          <w:color w:val="auto"/>
        </w:rPr>
      </w:pPr>
      <w:r>
        <w:rPr>
          <w:rFonts w:ascii="Arial" w:cs="Arial" w:eastAsia="Arial" w:hAnsi="Arial"/>
          <w:sz w:val="18"/>
          <w:szCs w:val="18"/>
          <w:color w:val="auto"/>
        </w:rPr>
        <w:t>The information required to be included by Item 13 of Form 10-K will be included under the caption “CERTAIN RELATIONSHIPS AND TRANSACTIONS” in the proxy statement and such information is incorporated by reference herein.</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121" w:lineRule="exact"/>
        <w:rPr>
          <w:sz w:val="20"/>
          <w:szCs w:val="20"/>
          <w:color w:val="auto"/>
        </w:rPr>
      </w:pPr>
    </w:p>
    <w:p>
      <w:pPr>
        <w:ind w:right="20" w:firstLine="267"/>
        <w:spacing w:after="0" w:line="342" w:lineRule="auto"/>
        <w:rPr>
          <w:sz w:val="20"/>
          <w:szCs w:val="20"/>
          <w:color w:val="auto"/>
        </w:rPr>
      </w:pPr>
      <w:r>
        <w:rPr>
          <w:rFonts w:ascii="Arial" w:cs="Arial" w:eastAsia="Arial" w:hAnsi="Arial"/>
          <w:sz w:val="16"/>
          <w:szCs w:val="16"/>
          <w:color w:val="auto"/>
        </w:rPr>
        <w:t>The information required to be included by Item 14 of Form 10-K will be included under the caption “(Proposal 2) RATIFICATION OF APPOINTMENT OF INDEPENDENT AUDITORS — Independent Auditor Fees” in the Proxy Statement and such information is incorporated by reference herein.</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21" w:lineRule="exact"/>
        <w:rPr>
          <w:sz w:val="20"/>
          <w:szCs w:val="20"/>
          <w:color w:val="auto"/>
        </w:rPr>
      </w:pPr>
    </w:p>
    <w:p>
      <w:pPr>
        <w:ind w:left="640" w:hanging="281"/>
        <w:spacing w:after="0"/>
        <w:tabs>
          <w:tab w:leader="none" w:pos="6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1,   2. Financial Statements and Schedules. See index on Page F-1.</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Exhibits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jc w:val="right"/>
              <w:ind w:right="693"/>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080" w:type="dxa"/>
            <w:vAlign w:val="bottom"/>
            <w:vMerge w:val="restart"/>
          </w:tcPr>
          <w:p>
            <w:pPr>
              <w:ind w:left="41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00" w:type="dxa"/>
            <w:vAlign w:val="bottom"/>
          </w:tcPr>
          <w:p>
            <w:pPr>
              <w:jc w:val="right"/>
              <w:ind w:right="693"/>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6"/>
              </w:rPr>
              <w:t>Amended and Restated Certificate of Incorporation of the Company (filed as Exhibit 3.1 to the Company’s Registration</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Statement on Form S-1 (File No. 333-24733) (the “S-1”))*</w:t>
            </w:r>
          </w:p>
        </w:tc>
        <w:tc>
          <w:tcPr>
            <w:tcW w:w="0" w:type="dxa"/>
            <w:vAlign w:val="bottom"/>
          </w:tcPr>
          <w:p>
            <w:pPr>
              <w:spacing w:after="0"/>
              <w:rPr>
                <w:sz w:val="1"/>
                <w:szCs w:val="1"/>
                <w:color w:val="auto"/>
              </w:rPr>
            </w:pPr>
          </w:p>
        </w:tc>
      </w:tr>
      <w:tr>
        <w:trPr>
          <w:trHeight w:val="216"/>
        </w:trPr>
        <w:tc>
          <w:tcPr>
            <w:tcW w:w="2000" w:type="dxa"/>
            <w:vAlign w:val="bottom"/>
          </w:tcPr>
          <w:p>
            <w:pPr>
              <w:jc w:val="right"/>
              <w:ind w:right="693"/>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Amended and Restated By-laws of the Company (filed as Exhibit 3.2 to the S-1)*</w:t>
            </w:r>
          </w:p>
        </w:tc>
        <w:tc>
          <w:tcPr>
            <w:tcW w:w="0" w:type="dxa"/>
            <w:vAlign w:val="bottom"/>
          </w:tcPr>
          <w:p>
            <w:pPr>
              <w:spacing w:after="0"/>
              <w:rPr>
                <w:sz w:val="1"/>
                <w:szCs w:val="1"/>
                <w:color w:val="auto"/>
              </w:rPr>
            </w:pPr>
          </w:p>
        </w:tc>
      </w:tr>
      <w:tr>
        <w:trPr>
          <w:trHeight w:val="216"/>
        </w:trPr>
        <w:tc>
          <w:tcPr>
            <w:tcW w:w="2000" w:type="dxa"/>
            <w:vAlign w:val="bottom"/>
          </w:tcPr>
          <w:p>
            <w:pPr>
              <w:jc w:val="right"/>
              <w:ind w:right="693"/>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6"/>
              </w:rPr>
              <w:t>Polo Ralph Lauren Corporation 1997 Stock Option Plan for Non-Employee Directors (filed as Exhibit 10.2 to the S-1)*†</w:t>
            </w:r>
          </w:p>
        </w:tc>
        <w:tc>
          <w:tcPr>
            <w:tcW w:w="0" w:type="dxa"/>
            <w:vAlign w:val="bottom"/>
          </w:tcPr>
          <w:p>
            <w:pPr>
              <w:spacing w:after="0"/>
              <w:rPr>
                <w:sz w:val="1"/>
                <w:szCs w:val="1"/>
                <w:color w:val="auto"/>
              </w:rPr>
            </w:pPr>
          </w:p>
        </w:tc>
      </w:tr>
      <w:tr>
        <w:trPr>
          <w:trHeight w:val="216"/>
        </w:trPr>
        <w:tc>
          <w:tcPr>
            <w:tcW w:w="2000" w:type="dxa"/>
            <w:vAlign w:val="bottom"/>
          </w:tcPr>
          <w:p>
            <w:pPr>
              <w:jc w:val="right"/>
              <w:ind w:right="693"/>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1"/>
              </w:rPr>
              <w:t>Registration Rights Agreement dated as of June 9, 1997 by and among Ralph Lauren, GS Capital Partners, L.P., GS Capital</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5"/>
              </w:rPr>
              <w:t>Partner PRL Holding I, L.P., GS Capital Partners PRL Holding II, L.P., Stone Street Fund 1994, L.P., Stone Street 1994</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6"/>
              </w:rPr>
              <w:t>Subsidiary Corp., Bridge Street Fund 1994, L.P., and Polo Ralph Lauren Corporation (filed as Exhibit 10.3 to the S-1)*</w:t>
            </w:r>
          </w:p>
        </w:tc>
        <w:tc>
          <w:tcPr>
            <w:tcW w:w="0" w:type="dxa"/>
            <w:vAlign w:val="bottom"/>
          </w:tcPr>
          <w:p>
            <w:pPr>
              <w:spacing w:after="0"/>
              <w:rPr>
                <w:sz w:val="1"/>
                <w:szCs w:val="1"/>
                <w:color w:val="auto"/>
              </w:rPr>
            </w:pPr>
          </w:p>
        </w:tc>
      </w:tr>
      <w:tr>
        <w:trPr>
          <w:trHeight w:val="216"/>
        </w:trPr>
        <w:tc>
          <w:tcPr>
            <w:tcW w:w="2000" w:type="dxa"/>
            <w:vAlign w:val="bottom"/>
          </w:tcPr>
          <w:p>
            <w:pPr>
              <w:jc w:val="right"/>
              <w:ind w:right="693"/>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6"/>
              </w:rPr>
              <w:t>U.S.A. Design and Consulting Agreement, dated January 1, 1985, between Ralph Lauren, individually and d/b/a Ralph</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1"/>
              </w:rPr>
              <w:t>Lauren Design Studio, and Cosmair, Inc., and letter Agreement related thereto dated January 1, 1985** (filed as Exhibit 10.4</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to the S-1)*</w:t>
            </w:r>
          </w:p>
        </w:tc>
        <w:tc>
          <w:tcPr>
            <w:tcW w:w="0" w:type="dxa"/>
            <w:vAlign w:val="bottom"/>
          </w:tcPr>
          <w:p>
            <w:pPr>
              <w:spacing w:after="0"/>
              <w:rPr>
                <w:sz w:val="1"/>
                <w:szCs w:val="1"/>
                <w:color w:val="auto"/>
              </w:rPr>
            </w:pPr>
          </w:p>
        </w:tc>
      </w:tr>
      <w:tr>
        <w:trPr>
          <w:trHeight w:val="216"/>
        </w:trPr>
        <w:tc>
          <w:tcPr>
            <w:tcW w:w="2000" w:type="dxa"/>
            <w:vAlign w:val="bottom"/>
          </w:tcPr>
          <w:p>
            <w:pPr>
              <w:jc w:val="right"/>
              <w:ind w:right="693"/>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3"/>
              </w:rPr>
              <w:t>Restated U.S.A. License Agreement, dated January 1, 1985, between Ricky Lauren and Mark N. Kaplan, as Licensor, and</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3"/>
              </w:rPr>
              <w:t>Cosmair, Inc., as Licensee, and letter Agreement related thereto dated January 1, 1985** (filed as Exhibit 10.5 to the S-1)*</w:t>
            </w:r>
          </w:p>
        </w:tc>
        <w:tc>
          <w:tcPr>
            <w:tcW w:w="0" w:type="dxa"/>
            <w:vAlign w:val="bottom"/>
          </w:tcPr>
          <w:p>
            <w:pPr>
              <w:spacing w:after="0"/>
              <w:rPr>
                <w:sz w:val="1"/>
                <w:szCs w:val="1"/>
                <w:color w:val="auto"/>
              </w:rPr>
            </w:pPr>
          </w:p>
        </w:tc>
      </w:tr>
      <w:tr>
        <w:trPr>
          <w:trHeight w:val="216"/>
        </w:trPr>
        <w:tc>
          <w:tcPr>
            <w:tcW w:w="2000" w:type="dxa"/>
            <w:vAlign w:val="bottom"/>
          </w:tcPr>
          <w:p>
            <w:pPr>
              <w:jc w:val="right"/>
              <w:ind w:right="693"/>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5"/>
              </w:rPr>
              <w:t>Foreign Design and Consulting Agreement, dated January 1, 1985, between Ralph Lauren, individually and d/b/a Ralph</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3"/>
              </w:rPr>
              <w:t>Lauren Design Studio, as Licensor, and L’Oreal S.A., as Licensee, and letter Agreements related thereto dated January 1,</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1985, September 16, 1994 and October 25, 1994** (filed as Exhibit 10.6 to the S-1)*</w:t>
            </w:r>
          </w:p>
        </w:tc>
        <w:tc>
          <w:tcPr>
            <w:tcW w:w="0" w:type="dxa"/>
            <w:vAlign w:val="bottom"/>
          </w:tcPr>
          <w:p>
            <w:pPr>
              <w:spacing w:after="0"/>
              <w:rPr>
                <w:sz w:val="1"/>
                <w:szCs w:val="1"/>
                <w:color w:val="auto"/>
              </w:rPr>
            </w:pPr>
          </w:p>
        </w:tc>
      </w:tr>
      <w:tr>
        <w:trPr>
          <w:trHeight w:val="216"/>
        </w:trPr>
        <w:tc>
          <w:tcPr>
            <w:tcW w:w="2000" w:type="dxa"/>
            <w:vAlign w:val="bottom"/>
          </w:tcPr>
          <w:p>
            <w:pPr>
              <w:jc w:val="right"/>
              <w:ind w:right="693"/>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1"/>
              </w:rPr>
              <w:t>Restated Foreign License Agreement, dated January 1, 1985, between The Polo/Lauren Company, as Licensor, and L’Oreal</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3"/>
              </w:rPr>
              <w:t>S.A., as Licensee, Letter Agreement related thereto dated January 1, 1985, and Supplementary Agreement thereto, dated</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October 1, 1991** (filed as Exhibit 10.7 to the S-1)*</w:t>
            </w:r>
          </w:p>
        </w:tc>
        <w:tc>
          <w:tcPr>
            <w:tcW w:w="0" w:type="dxa"/>
            <w:vAlign w:val="bottom"/>
          </w:tcPr>
          <w:p>
            <w:pPr>
              <w:spacing w:after="0"/>
              <w:rPr>
                <w:sz w:val="1"/>
                <w:szCs w:val="1"/>
                <w:color w:val="auto"/>
              </w:rPr>
            </w:pPr>
          </w:p>
        </w:tc>
      </w:tr>
      <w:tr>
        <w:trPr>
          <w:trHeight w:val="216"/>
        </w:trPr>
        <w:tc>
          <w:tcPr>
            <w:tcW w:w="2000" w:type="dxa"/>
            <w:vAlign w:val="bottom"/>
          </w:tcPr>
          <w:p>
            <w:pPr>
              <w:jc w:val="right"/>
              <w:ind w:right="693"/>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7"/>
              </w:rPr>
              <w:t>Amendment, dated November 27, 1992, to Foreign Design and Consulting Agreement and Restated Foreign License</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Agreement** (filed as Exhibit 10.8 to the S-1)*</w:t>
            </w:r>
          </w:p>
        </w:tc>
        <w:tc>
          <w:tcPr>
            <w:tcW w:w="0" w:type="dxa"/>
            <w:vAlign w:val="bottom"/>
          </w:tcPr>
          <w:p>
            <w:pPr>
              <w:spacing w:after="0"/>
              <w:rPr>
                <w:sz w:val="1"/>
                <w:szCs w:val="1"/>
                <w:color w:val="auto"/>
              </w:rPr>
            </w:pPr>
          </w:p>
        </w:tc>
      </w:tr>
      <w:tr>
        <w:trPr>
          <w:trHeight w:val="216"/>
        </w:trPr>
        <w:tc>
          <w:tcPr>
            <w:tcW w:w="2000" w:type="dxa"/>
            <w:vAlign w:val="bottom"/>
          </w:tcPr>
          <w:p>
            <w:pPr>
              <w:jc w:val="right"/>
              <w:ind w:right="693"/>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2"/>
              </w:rPr>
              <w:t>Design Services Agreement, dated as of October 18, 1995, by and between Polo Ralph Lauren Enterprises, L.P. and Jones</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7"/>
              </w:rPr>
              <w:t>Apparel Group, Inc.** (filed as Exhibit 10.25 to the Company’s Annual Report on Form 10-K for the Fiscal Year ended</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March 28, 1998 (the “Fiscal 1998 10-K”))*</w:t>
            </w:r>
          </w:p>
        </w:tc>
        <w:tc>
          <w:tcPr>
            <w:tcW w:w="0" w:type="dxa"/>
            <w:vAlign w:val="bottom"/>
          </w:tcPr>
          <w:p>
            <w:pPr>
              <w:spacing w:after="0"/>
              <w:rPr>
                <w:sz w:val="1"/>
                <w:szCs w:val="1"/>
                <w:color w:val="auto"/>
              </w:rPr>
            </w:pPr>
          </w:p>
        </w:tc>
      </w:tr>
      <w:tr>
        <w:trPr>
          <w:trHeight w:val="216"/>
        </w:trPr>
        <w:tc>
          <w:tcPr>
            <w:tcW w:w="2000" w:type="dxa"/>
            <w:vAlign w:val="bottom"/>
          </w:tcPr>
          <w:p>
            <w:pPr>
              <w:jc w:val="right"/>
              <w:ind w:right="693"/>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2"/>
              </w:rPr>
              <w:t>License Agreement, dated as of October 18, 1995, by and between Polo Ralph Lauren Enterprises, L.P. and Jones Apparel</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Group, Inc.** (filed as Exhibit 10-26 to the Fiscal 1998 10-K)*</w:t>
            </w:r>
          </w:p>
        </w:tc>
        <w:tc>
          <w:tcPr>
            <w:tcW w:w="0" w:type="dxa"/>
            <w:vAlign w:val="bottom"/>
          </w:tcPr>
          <w:p>
            <w:pPr>
              <w:spacing w:after="0"/>
              <w:rPr>
                <w:sz w:val="1"/>
                <w:szCs w:val="1"/>
                <w:color w:val="auto"/>
              </w:rPr>
            </w:pPr>
          </w:p>
        </w:tc>
      </w:tr>
      <w:tr>
        <w:trPr>
          <w:trHeight w:val="405"/>
        </w:trPr>
        <w:tc>
          <w:tcPr>
            <w:tcW w:w="2000" w:type="dxa"/>
            <w:vAlign w:val="bottom"/>
          </w:tcPr>
          <w:p>
            <w:pPr>
              <w:spacing w:after="0"/>
              <w:rPr>
                <w:sz w:val="24"/>
                <w:szCs w:val="24"/>
                <w:color w:val="auto"/>
              </w:rPr>
            </w:pPr>
          </w:p>
        </w:tc>
        <w:tc>
          <w:tcPr>
            <w:tcW w:w="9420" w:type="dxa"/>
            <w:vAlign w:val="bottom"/>
            <w:gridSpan w:val="2"/>
          </w:tcPr>
          <w:p>
            <w:pPr>
              <w:jc w:val="right"/>
              <w:ind w:right="553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6"/>
        </w:trPr>
        <w:tc>
          <w:tcPr>
            <w:tcW w:w="20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jc w:val="right"/>
              <w:ind w:right="692"/>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080" w:type="dxa"/>
            <w:vAlign w:val="bottom"/>
            <w:vMerge w:val="restart"/>
          </w:tcPr>
          <w:p>
            <w:pPr>
              <w:ind w:left="41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00" w:type="dxa"/>
            <w:vAlign w:val="bottom"/>
          </w:tcPr>
          <w:p>
            <w:pPr>
              <w:jc w:val="right"/>
              <w:ind w:right="592"/>
              <w:spacing w:after="0"/>
              <w:rPr>
                <w:sz w:val="20"/>
                <w:szCs w:val="20"/>
                <w:color w:val="auto"/>
              </w:rPr>
            </w:pPr>
            <w:r>
              <w:rPr>
                <w:rFonts w:ascii="Arial" w:cs="Arial" w:eastAsia="Arial" w:hAnsi="Arial"/>
                <w:sz w:val="18"/>
                <w:szCs w:val="18"/>
                <w:color w:val="auto"/>
              </w:rPr>
              <w:t>10.10</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5"/>
              </w:rPr>
              <w:t>Fiscal and Paying Agency Agreement dated November 22, 1999, among Polo Ralph Lauren Corporation, its subsidiary</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4"/>
              </w:rPr>
              <w:t>guarantors and The Bank of New York, as fiscal and principal paying agent (filed as Exhibit 10.1 to the Form 10-Q for the</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quarterly period ended January 1, 2000)*</w:t>
            </w:r>
          </w:p>
        </w:tc>
        <w:tc>
          <w:tcPr>
            <w:tcW w:w="0" w:type="dxa"/>
            <w:vAlign w:val="bottom"/>
          </w:tcPr>
          <w:p>
            <w:pPr>
              <w:spacing w:after="0"/>
              <w:rPr>
                <w:sz w:val="1"/>
                <w:szCs w:val="1"/>
                <w:color w:val="auto"/>
              </w:rPr>
            </w:pPr>
          </w:p>
        </w:tc>
      </w:tr>
      <w:tr>
        <w:trPr>
          <w:trHeight w:val="216"/>
        </w:trPr>
        <w:tc>
          <w:tcPr>
            <w:tcW w:w="2000" w:type="dxa"/>
            <w:vAlign w:val="bottom"/>
          </w:tcPr>
          <w:p>
            <w:pPr>
              <w:jc w:val="right"/>
              <w:ind w:right="612"/>
              <w:spacing w:after="0"/>
              <w:rPr>
                <w:sz w:val="20"/>
                <w:szCs w:val="20"/>
                <w:color w:val="auto"/>
              </w:rPr>
            </w:pPr>
            <w:r>
              <w:rPr>
                <w:rFonts w:ascii="Arial" w:cs="Arial" w:eastAsia="Arial" w:hAnsi="Arial"/>
                <w:sz w:val="18"/>
                <w:szCs w:val="18"/>
                <w:color w:val="auto"/>
              </w:rPr>
              <w:t>10.11</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3"/>
              </w:rPr>
              <w:t>Form of Indemnification Agreement between Polo Ralph Lauren Corporation and its Directors and Executive Officers (filed</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as Exhibit 10.26 to the S-1)*</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2"/>
              <w:spacing w:after="0"/>
              <w:rPr>
                <w:sz w:val="20"/>
                <w:szCs w:val="20"/>
                <w:color w:val="auto"/>
              </w:rPr>
            </w:pPr>
            <w:r>
              <w:rPr>
                <w:rFonts w:ascii="Arial" w:cs="Arial" w:eastAsia="Arial" w:hAnsi="Arial"/>
                <w:sz w:val="18"/>
                <w:szCs w:val="18"/>
                <w:color w:val="auto"/>
              </w:rPr>
              <w:t>10.12</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1"/>
              </w:rPr>
              <w:t>Amended and Restated Employment Agreement, effective as of July 23, 2002, between Polo Ralph Lauren Corporation and</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Roger N. Farah (filed as Exhibit 10.1 to the Form 10-Q for the quarterly period ended June 29, 2002)*†</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2"/>
              <w:spacing w:after="0"/>
              <w:rPr>
                <w:sz w:val="20"/>
                <w:szCs w:val="20"/>
                <w:color w:val="auto"/>
              </w:rPr>
            </w:pPr>
            <w:r>
              <w:rPr>
                <w:rFonts w:ascii="Arial" w:cs="Arial" w:eastAsia="Arial" w:hAnsi="Arial"/>
                <w:sz w:val="18"/>
                <w:szCs w:val="18"/>
                <w:color w:val="auto"/>
              </w:rPr>
              <w:t>10.13</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3"/>
              </w:rPr>
              <w:t>Amended and Restated Employment Agreement, dated as of June 17, 2003, between Polo Ralph Lauren Corporation and</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Ralph Lauren (filed as Exhibit 10.1 to the Form 10-Q for the quarterly period ended June 28, 2003)*†</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2"/>
              <w:spacing w:after="0"/>
              <w:rPr>
                <w:sz w:val="20"/>
                <w:szCs w:val="20"/>
                <w:color w:val="auto"/>
              </w:rPr>
            </w:pPr>
            <w:r>
              <w:rPr>
                <w:rFonts w:ascii="Arial" w:cs="Arial" w:eastAsia="Arial" w:hAnsi="Arial"/>
                <w:sz w:val="18"/>
                <w:szCs w:val="18"/>
                <w:color w:val="auto"/>
              </w:rPr>
              <w:t>10.14</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6"/>
              </w:rPr>
              <w:t>Non-Qualified Stock Option Agreement, dated as of June 8, 2004, between Polo Ralph Lauren Corporation and Ralph</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Lauren†</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2"/>
              <w:spacing w:after="0"/>
              <w:rPr>
                <w:sz w:val="20"/>
                <w:szCs w:val="20"/>
                <w:color w:val="auto"/>
              </w:rPr>
            </w:pPr>
            <w:r>
              <w:rPr>
                <w:rFonts w:ascii="Arial" w:cs="Arial" w:eastAsia="Arial" w:hAnsi="Arial"/>
                <w:sz w:val="18"/>
                <w:szCs w:val="18"/>
                <w:color w:val="auto"/>
              </w:rPr>
              <w:t>10.15</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6"/>
              </w:rPr>
              <w:t>Restricted Stock Unit Award Agreement, dated as of June 8, 2004, between Polo Ralph Lauren Corporation and Ralph</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Lauren†</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2"/>
              <w:spacing w:after="0"/>
              <w:rPr>
                <w:sz w:val="20"/>
                <w:szCs w:val="20"/>
                <w:color w:val="auto"/>
              </w:rPr>
            </w:pPr>
            <w:r>
              <w:rPr>
                <w:rFonts w:ascii="Arial" w:cs="Arial" w:eastAsia="Arial" w:hAnsi="Arial"/>
                <w:sz w:val="18"/>
                <w:szCs w:val="18"/>
                <w:color w:val="auto"/>
              </w:rPr>
              <w:t>10.16</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8"/>
              </w:rPr>
              <w:t>Polo Ralph Lauren Corporation Executive Officer Annual Incentive Plan as Amended as of August 14, 2003 (filed as</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Exhibit 10.1 to the Form 10-Q for the quarterly period ended September 27, 2003)*†</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2"/>
              <w:spacing w:after="0"/>
              <w:rPr>
                <w:sz w:val="20"/>
                <w:szCs w:val="20"/>
                <w:color w:val="auto"/>
              </w:rPr>
            </w:pPr>
            <w:r>
              <w:rPr>
                <w:rFonts w:ascii="Arial" w:cs="Arial" w:eastAsia="Arial" w:hAnsi="Arial"/>
                <w:sz w:val="18"/>
                <w:szCs w:val="18"/>
                <w:color w:val="auto"/>
              </w:rPr>
              <w:t>10.17</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2"/>
              </w:rPr>
              <w:t>Amendment No. 1, dated July 1, 2004, to the Amended and Restated Employment Agreement between Polo Ralph Lauren</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3"/>
              </w:rPr>
              <w:t>Corporation and Roger N. Farah (filed as Exhibit 10.1 to the Form 10-Q for the quarterly period ended October 2, 2004)*†</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2"/>
              <w:spacing w:after="0"/>
              <w:rPr>
                <w:sz w:val="20"/>
                <w:szCs w:val="20"/>
                <w:color w:val="auto"/>
              </w:rPr>
            </w:pPr>
            <w:r>
              <w:rPr>
                <w:rFonts w:ascii="Arial" w:cs="Arial" w:eastAsia="Arial" w:hAnsi="Arial"/>
                <w:sz w:val="18"/>
                <w:szCs w:val="18"/>
                <w:color w:val="auto"/>
              </w:rPr>
              <w:t>10.18</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4"/>
              </w:rPr>
              <w:t>Restricted Stock Unit Award Agreement, dated as of July 1, 2004, between Polo Ralph Lauren Corporation and Roger N.</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Farah†</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2"/>
              <w:spacing w:after="0"/>
              <w:rPr>
                <w:sz w:val="20"/>
                <w:szCs w:val="20"/>
                <w:color w:val="auto"/>
              </w:rPr>
            </w:pPr>
            <w:r>
              <w:rPr>
                <w:rFonts w:ascii="Arial" w:cs="Arial" w:eastAsia="Arial" w:hAnsi="Arial"/>
                <w:sz w:val="18"/>
                <w:szCs w:val="18"/>
                <w:color w:val="auto"/>
              </w:rPr>
              <w:t>10.19</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0"/>
              </w:rPr>
              <w:t>Restricted Stock Award Agreement, dated as of July 23, 2002, between Polo Ralph Lauren Corporation and Roger N. Farah†</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2"/>
              <w:spacing w:after="0"/>
              <w:rPr>
                <w:sz w:val="20"/>
                <w:szCs w:val="20"/>
                <w:color w:val="auto"/>
              </w:rPr>
            </w:pPr>
            <w:r>
              <w:rPr>
                <w:rFonts w:ascii="Arial" w:cs="Arial" w:eastAsia="Arial" w:hAnsi="Arial"/>
                <w:sz w:val="18"/>
                <w:szCs w:val="18"/>
                <w:color w:val="auto"/>
              </w:rPr>
              <w:t>10.20</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3"/>
              </w:rPr>
              <w:t>Non-Qualified Stock Option Agreement, dated as of July 23, 2002, between Polo Ralph Lauren Corporation and Roger N.</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Farah†</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2"/>
              <w:spacing w:after="0"/>
              <w:rPr>
                <w:sz w:val="20"/>
                <w:szCs w:val="20"/>
                <w:color w:val="auto"/>
              </w:rPr>
            </w:pPr>
            <w:r>
              <w:rPr>
                <w:rFonts w:ascii="Arial" w:cs="Arial" w:eastAsia="Arial" w:hAnsi="Arial"/>
                <w:sz w:val="18"/>
                <w:szCs w:val="18"/>
                <w:color w:val="auto"/>
              </w:rPr>
              <w:t>10.21</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1"/>
              </w:rPr>
              <w:t>Deferred Compensation Agreement, dated as of September 19, 2002, between Polo Ralph Lauren Corporation and Roger N.</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Farah†</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2"/>
              <w:spacing w:after="0"/>
              <w:rPr>
                <w:sz w:val="20"/>
                <w:szCs w:val="20"/>
                <w:color w:val="auto"/>
              </w:rPr>
            </w:pPr>
            <w:r>
              <w:rPr>
                <w:rFonts w:ascii="Arial" w:cs="Arial" w:eastAsia="Arial" w:hAnsi="Arial"/>
                <w:sz w:val="18"/>
                <w:szCs w:val="18"/>
                <w:color w:val="auto"/>
              </w:rPr>
              <w:t>10.22</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1"/>
              </w:rPr>
              <w:t>Asset Purchase Agreement by and among Polo Ralph Lauren Corporation, RL Childrenswear Company, LLC and The Seller</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5"/>
              </w:rPr>
              <w:t>Affiliate Group (as defined therein) dated March 25, 2004 (filed as Exhibit 10.1 to the Form 10-Q for the quarterly period</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ended July 3, 2004)*</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2"/>
              <w:spacing w:after="0"/>
              <w:rPr>
                <w:sz w:val="20"/>
                <w:szCs w:val="20"/>
                <w:color w:val="auto"/>
              </w:rPr>
            </w:pPr>
            <w:r>
              <w:rPr>
                <w:rFonts w:ascii="Arial" w:cs="Arial" w:eastAsia="Arial" w:hAnsi="Arial"/>
                <w:sz w:val="18"/>
                <w:szCs w:val="18"/>
                <w:color w:val="auto"/>
              </w:rPr>
              <w:t>10.23</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0"/>
              </w:rPr>
              <w:t>Amendment No. 1, dated as of July 2, 2004, to Asset Purchase Agreement by and among Polo Ralph Lauren Corporation, RL</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2"/>
              </w:rPr>
              <w:t>Childrenswear Company, LLC and The Seller Affiliate Group (as defined therein) (filed as Exhibit 10.2 to the Form 10-Q for</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the quarterly period ended July 3, 2004)*</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2"/>
              <w:spacing w:after="0"/>
              <w:rPr>
                <w:sz w:val="20"/>
                <w:szCs w:val="20"/>
                <w:color w:val="auto"/>
              </w:rPr>
            </w:pPr>
            <w:r>
              <w:rPr>
                <w:rFonts w:ascii="Arial" w:cs="Arial" w:eastAsia="Arial" w:hAnsi="Arial"/>
                <w:sz w:val="18"/>
                <w:szCs w:val="18"/>
                <w:color w:val="auto"/>
              </w:rPr>
              <w:t>10.24</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1"/>
              </w:rPr>
              <w:t>Polo Ralph Lauren Corporation 1997 Long-Term Stock Incentive Plan, as Amended and Restated as of August 12, 2004 (the</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“Stock Incentive Plan”) (filed as Exhibit 99.1 to the Form 8-K dated August 12, 2004)*†</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2"/>
              <w:spacing w:after="0"/>
              <w:rPr>
                <w:sz w:val="20"/>
                <w:szCs w:val="20"/>
                <w:color w:val="auto"/>
              </w:rPr>
            </w:pPr>
            <w:r>
              <w:rPr>
                <w:rFonts w:ascii="Arial" w:cs="Arial" w:eastAsia="Arial" w:hAnsi="Arial"/>
                <w:sz w:val="18"/>
                <w:szCs w:val="18"/>
                <w:color w:val="auto"/>
              </w:rPr>
              <w:t>10.25</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2"/>
              </w:rPr>
              <w:t>Restricted Performance Share Unit Award Overview containing the standard terms of restricted performance share awards</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under the Stock Incentive Plan†</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2"/>
              <w:spacing w:after="0"/>
              <w:rPr>
                <w:sz w:val="20"/>
                <w:szCs w:val="20"/>
                <w:color w:val="auto"/>
              </w:rPr>
            </w:pPr>
            <w:r>
              <w:rPr>
                <w:rFonts w:ascii="Arial" w:cs="Arial" w:eastAsia="Arial" w:hAnsi="Arial"/>
                <w:sz w:val="18"/>
                <w:szCs w:val="18"/>
                <w:color w:val="auto"/>
              </w:rPr>
              <w:t>10.26</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2"/>
              </w:rPr>
              <w:t>Stock Option Award Overview — U.S. containing the standard terms of stock option award under the Stock Incentive Plan†</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2"/>
              <w:spacing w:after="0"/>
              <w:rPr>
                <w:sz w:val="20"/>
                <w:szCs w:val="20"/>
                <w:color w:val="auto"/>
              </w:rPr>
            </w:pPr>
            <w:r>
              <w:rPr>
                <w:rFonts w:ascii="Arial" w:cs="Arial" w:eastAsia="Arial" w:hAnsi="Arial"/>
                <w:sz w:val="18"/>
                <w:szCs w:val="18"/>
                <w:color w:val="auto"/>
              </w:rPr>
              <w:t>10.27</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4"/>
              </w:rPr>
              <w:t>Credit Agreement, dated as of October 6, 2004, by and among the Company, JP Morgan Chase Bank, as Administrative</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Agent, The Bank of New York, Fleet National Bank, SunTrust Bank and Wachovia Bank National Association, as</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3"/>
              </w:rPr>
              <w:t>Syndication Agents, J.P.Morgan Securities Inc., as Sole Bookrunner and Sole Lead Arranger, and a Syndicate of Lending</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Banks (filed as Exhibit 99.1 to the Form 8-K dated October 6, 2004)*†</w:t>
            </w:r>
          </w:p>
        </w:tc>
        <w:tc>
          <w:tcPr>
            <w:tcW w:w="0" w:type="dxa"/>
            <w:vAlign w:val="bottom"/>
          </w:tcPr>
          <w:p>
            <w:pPr>
              <w:spacing w:after="0"/>
              <w:rPr>
                <w:sz w:val="1"/>
                <w:szCs w:val="1"/>
                <w:color w:val="auto"/>
              </w:rPr>
            </w:pPr>
          </w:p>
        </w:tc>
      </w:tr>
      <w:tr>
        <w:trPr>
          <w:trHeight w:val="216"/>
        </w:trPr>
        <w:tc>
          <w:tcPr>
            <w:tcW w:w="2000" w:type="dxa"/>
            <w:vAlign w:val="bottom"/>
          </w:tcPr>
          <w:p>
            <w:pPr>
              <w:jc w:val="right"/>
              <w:ind w:right="592"/>
              <w:spacing w:after="0"/>
              <w:rPr>
                <w:sz w:val="20"/>
                <w:szCs w:val="20"/>
                <w:color w:val="auto"/>
              </w:rPr>
            </w:pPr>
            <w:r>
              <w:rPr>
                <w:rFonts w:ascii="Arial" w:cs="Arial" w:eastAsia="Arial" w:hAnsi="Arial"/>
                <w:sz w:val="18"/>
                <w:szCs w:val="18"/>
                <w:color w:val="auto"/>
              </w:rPr>
              <w:t>10.28</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3"/>
              </w:rPr>
              <w:t>Employment Agreement, dated as of September 4, 2004, between Polo Ralph Lauren Corporation and Jackwyn Nemerov</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(filed as Exhibit 10.3 to the Form 10-Q for the quarterly period ended October 2, 2004)*†</w:t>
            </w:r>
          </w:p>
        </w:tc>
        <w:tc>
          <w:tcPr>
            <w:tcW w:w="0" w:type="dxa"/>
            <w:vAlign w:val="bottom"/>
          </w:tcPr>
          <w:p>
            <w:pPr>
              <w:spacing w:after="0"/>
              <w:rPr>
                <w:sz w:val="1"/>
                <w:szCs w:val="1"/>
                <w:color w:val="auto"/>
              </w:rPr>
            </w:pPr>
          </w:p>
        </w:tc>
      </w:tr>
      <w:tr>
        <w:trPr>
          <w:trHeight w:val="405"/>
        </w:trPr>
        <w:tc>
          <w:tcPr>
            <w:tcW w:w="2000" w:type="dxa"/>
            <w:vAlign w:val="bottom"/>
          </w:tcPr>
          <w:p>
            <w:pPr>
              <w:spacing w:after="0"/>
              <w:rPr>
                <w:sz w:val="24"/>
                <w:szCs w:val="24"/>
                <w:color w:val="auto"/>
              </w:rPr>
            </w:pPr>
          </w:p>
        </w:tc>
        <w:tc>
          <w:tcPr>
            <w:tcW w:w="9420" w:type="dxa"/>
            <w:vAlign w:val="bottom"/>
            <w:gridSpan w:val="2"/>
          </w:tcPr>
          <w:p>
            <w:pPr>
              <w:jc w:val="right"/>
              <w:ind w:right="553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6"/>
        </w:trPr>
        <w:tc>
          <w:tcPr>
            <w:tcW w:w="20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ind w:left="78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080" w:type="dxa"/>
            <w:vAlign w:val="bottom"/>
            <w:vMerge w:val="restart"/>
          </w:tcPr>
          <w:p>
            <w:pPr>
              <w:ind w:left="41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00" w:type="dxa"/>
            <w:vAlign w:val="bottom"/>
          </w:tcPr>
          <w:p>
            <w:pPr>
              <w:ind w:left="900"/>
              <w:spacing w:after="0"/>
              <w:rPr>
                <w:sz w:val="20"/>
                <w:szCs w:val="20"/>
                <w:color w:val="auto"/>
              </w:rPr>
            </w:pPr>
            <w:r>
              <w:rPr>
                <w:rFonts w:ascii="Arial" w:cs="Arial" w:eastAsia="Arial" w:hAnsi="Arial"/>
                <w:sz w:val="18"/>
                <w:szCs w:val="18"/>
                <w:color w:val="auto"/>
              </w:rPr>
              <w:t>10.29</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5"/>
              </w:rPr>
              <w:t>Employment Agreement, dated January 3, 2005, between Polo Ralph Lauren Corporation and Tracey T. Travis (filed as</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Exhibit 10.1 to the Company’s 10-Q for the quarter ended January 1, 2005))*†</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10.30</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89"/>
              </w:rPr>
              <w:t>Amended and Restated Employment Agreement, dated as of September 8, 2003, between Polo Ralph Lauren Corporation and</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Mitchell A. Kosh (filed as Exhibit 10.2 to the Form 10-Q for the quarterly period ended September 27, 2003)*†</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10.31</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1"/>
              </w:rPr>
              <w:t>Consulting Agreement, dated as of March 25, 2002, between Polo Ralph Lauren Corporation and Arnold H. Aronson (filed as</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Exhibit 10.34 to the Fiscal 2002 10-K)*†</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10.32</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0"/>
              </w:rPr>
              <w:t>Cross Default and Term Extension Agreement, dated May 11, 1998, among PRL USA, Inc., The Polo/ Lauren Company, L.P.,</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6"/>
              </w:rPr>
              <w:t>Polo Ralph Lauren Corporation, Jones Apparel Group, Inc. and Jones Investment Co., Inc. (filed as Exhibit 10.1 to the</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Form 10-Q for the quarterly period ended December 28, 2002)*</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14.1</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8"/>
              </w:rPr>
              <w:t>Code of Ethics for Principal Executive Officers and Senior Financial Officers (filed as Exhibit 14.1 to the Fiscal 2003</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Form 10-K)*</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List of Significant Subsidiaries of the Company</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Consent of Deloitte &amp; Touche LLP</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Certification of Ralph Lauren required by 17 CFR 240.13a-14(a)</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Certification of Tracey T. Travis required by 17 CFR 240.13a-14(a)</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0"/>
              </w:rPr>
              <w:t>Certification of Ralph Lauren Pursuant to 18 U.S.C. Section 1350, as adopted Pursuant to Section 906 of the Sarbanes-Oxley</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Act of 2002</w:t>
            </w:r>
          </w:p>
        </w:tc>
        <w:tc>
          <w:tcPr>
            <w:tcW w:w="0" w:type="dxa"/>
            <w:vAlign w:val="bottom"/>
          </w:tcPr>
          <w:p>
            <w:pPr>
              <w:spacing w:after="0"/>
              <w:rPr>
                <w:sz w:val="1"/>
                <w:szCs w:val="1"/>
                <w:color w:val="auto"/>
              </w:rPr>
            </w:pPr>
          </w:p>
        </w:tc>
      </w:tr>
      <w:tr>
        <w:trPr>
          <w:trHeight w:val="216"/>
        </w:trPr>
        <w:tc>
          <w:tcPr>
            <w:tcW w:w="2000" w:type="dxa"/>
            <w:vAlign w:val="bottom"/>
          </w:tcPr>
          <w:p>
            <w:pPr>
              <w:ind w:left="900"/>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3"/>
              </w:rPr>
              <w:t>Certification of Tracey T. Travis Pursuant to 18 U.S.C. Section 1350, as adopted pursuant to Section 906 of the Sarbanes-</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Oxley Act of 2002</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Exhibits 32.1 and 32.2 shall not be deemed “filed” for purposes of Section 18 of the Securities Exchange Act of 1934, or otherwise subject to the liability of that Section. Such exhibits shall not be deemed incorporated by reference into any filing under the Securities Act of 1933 or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036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90" w:lineRule="exact"/>
        <w:rPr>
          <w:sz w:val="20"/>
          <w:szCs w:val="20"/>
          <w:color w:val="auto"/>
        </w:rPr>
      </w:pPr>
    </w:p>
    <w:p>
      <w:pPr>
        <w:ind w:left="360" w:hanging="230"/>
        <w:spacing w:after="0"/>
        <w:tabs>
          <w:tab w:leader="none" w:pos="360" w:val="left"/>
        </w:tabs>
        <w:numPr>
          <w:ilvl w:val="2"/>
          <w:numId w:val="44"/>
        </w:numPr>
        <w:rPr>
          <w:rFonts w:ascii="Arial" w:cs="Arial" w:eastAsia="Arial" w:hAnsi="Arial"/>
          <w:sz w:val="18"/>
          <w:szCs w:val="18"/>
          <w:color w:val="auto"/>
        </w:rPr>
      </w:pPr>
      <w:r>
        <w:rPr>
          <w:rFonts w:ascii="Arial" w:cs="Arial" w:eastAsia="Arial" w:hAnsi="Arial"/>
          <w:sz w:val="18"/>
          <w:szCs w:val="18"/>
          <w:color w:val="auto"/>
        </w:rPr>
        <w:t>Incorporated herein by reference.</w:t>
      </w:r>
    </w:p>
    <w:p>
      <w:pPr>
        <w:spacing w:after="0" w:line="63" w:lineRule="exact"/>
        <w:rPr>
          <w:rFonts w:ascii="Arial" w:cs="Arial" w:eastAsia="Arial" w:hAnsi="Arial"/>
          <w:sz w:val="18"/>
          <w:szCs w:val="18"/>
          <w:color w:val="auto"/>
        </w:rPr>
      </w:pPr>
    </w:p>
    <w:p>
      <w:pPr>
        <w:ind w:left="240" w:hanging="137"/>
        <w:spacing w:after="0"/>
        <w:tabs>
          <w:tab w:leader="none" w:pos="2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is a management contract or compensatory plan or arrangement.</w:t>
      </w:r>
    </w:p>
    <w:p>
      <w:pPr>
        <w:spacing w:after="0" w:line="63" w:lineRule="exact"/>
        <w:rPr>
          <w:rFonts w:ascii="Arial" w:cs="Arial" w:eastAsia="Arial" w:hAnsi="Arial"/>
          <w:sz w:val="18"/>
          <w:szCs w:val="18"/>
          <w:color w:val="auto"/>
        </w:rPr>
      </w:pPr>
    </w:p>
    <w:p>
      <w:pPr>
        <w:ind w:left="360" w:right="180" w:hanging="352"/>
        <w:spacing w:after="0" w:line="277" w:lineRule="auto"/>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Portions of Exhibits 10.3-10.9 have been omitted pursuant to a request for confidential treatment and have been filed separately with the Securities and Exchange Commission.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60" w:firstLine="270"/>
        <w:spacing w:after="0" w:line="277" w:lineRule="auto"/>
        <w:rPr>
          <w:sz w:val="20"/>
          <w:szCs w:val="20"/>
          <w:color w:val="auto"/>
        </w:rPr>
      </w:pPr>
      <w:r>
        <w:rPr>
          <w:rFonts w:ascii="Arial" w:cs="Arial" w:eastAsia="Arial" w:hAnsi="Arial"/>
          <w:sz w:val="18"/>
          <w:szCs w:val="18"/>
          <w:color w:val="auto"/>
        </w:rPr>
        <w:t>Pursuant to the requirements of the Section 13 or 15(d) Securities Exchange Act of 1934, the registrant has caused this report to be signed on its behalf by the undersigned, thereunto duly authorized, on June 30, 2005.</w:t>
      </w:r>
    </w:p>
    <w:p>
      <w:pPr>
        <w:spacing w:after="0" w:line="38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POLO RALPH LAUREN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54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TRACEY T. TRAVIS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40640</wp:posOffset>
            </wp:positionV>
            <wp:extent cx="43478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Tracey T. Travis</w:t>
      </w:r>
    </w:p>
    <w:p>
      <w:pPr>
        <w:spacing w:after="0" w:line="23"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Senior Vice President of Finance</w:t>
      </w:r>
    </w:p>
    <w:p>
      <w:pPr>
        <w:spacing w:after="0" w:line="9"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(Principal Financial and</w:t>
      </w:r>
    </w:p>
    <w:p>
      <w:pPr>
        <w:spacing w:after="0" w:line="9"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Accounting Officer)</w:t>
      </w:r>
    </w:p>
    <w:p>
      <w:pPr>
        <w:spacing w:after="0" w:line="103"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360" w:type="dxa"/>
            <w:vAlign w:val="bottom"/>
          </w:tcPr>
          <w:p>
            <w:pPr>
              <w:spacing w:after="0"/>
              <w:rPr>
                <w:sz w:val="14"/>
                <w:szCs w:val="14"/>
                <w:color w:val="auto"/>
              </w:rPr>
            </w:pPr>
          </w:p>
        </w:tc>
        <w:tc>
          <w:tcPr>
            <w:tcW w:w="468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Title</w:t>
            </w:r>
          </w:p>
        </w:tc>
        <w:tc>
          <w:tcPr>
            <w:tcW w:w="32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425"/>
        </w:trPr>
        <w:tc>
          <w:tcPr>
            <w:tcW w:w="4580" w:type="dxa"/>
            <w:vAlign w:val="bottom"/>
          </w:tcPr>
          <w:p>
            <w:pPr>
              <w:jc w:val="center"/>
              <w:spacing w:after="0"/>
              <w:rPr>
                <w:sz w:val="20"/>
                <w:szCs w:val="20"/>
                <w:color w:val="auto"/>
              </w:rPr>
            </w:pPr>
            <w:r>
              <w:rPr>
                <w:rFonts w:ascii="Arial" w:cs="Arial" w:eastAsia="Arial" w:hAnsi="Arial"/>
                <w:sz w:val="18"/>
                <w:szCs w:val="18"/>
                <w:color w:val="auto"/>
                <w:w w:val="97"/>
              </w:rPr>
              <w:t>/s/ RALPH LAUREN</w:t>
            </w:r>
          </w:p>
        </w:tc>
        <w:tc>
          <w:tcPr>
            <w:tcW w:w="5040" w:type="dxa"/>
            <w:vAlign w:val="bottom"/>
            <w:gridSpan w:val="2"/>
          </w:tcPr>
          <w:p>
            <w:pPr>
              <w:ind w:left="360"/>
              <w:spacing w:after="0"/>
              <w:rPr>
                <w:sz w:val="20"/>
                <w:szCs w:val="20"/>
                <w:color w:val="auto"/>
              </w:rPr>
            </w:pPr>
            <w:r>
              <w:rPr>
                <w:rFonts w:ascii="Arial" w:cs="Arial" w:eastAsia="Arial" w:hAnsi="Arial"/>
                <w:sz w:val="18"/>
                <w:szCs w:val="18"/>
                <w:color w:val="auto"/>
              </w:rPr>
              <w:t>Chairman of the Board, Chief</w:t>
            </w:r>
          </w:p>
        </w:tc>
        <w:tc>
          <w:tcPr>
            <w:tcW w:w="3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June 30, 2005</w:t>
            </w:r>
          </w:p>
        </w:tc>
        <w:tc>
          <w:tcPr>
            <w:tcW w:w="0" w:type="dxa"/>
            <w:vAlign w:val="bottom"/>
          </w:tcPr>
          <w:p>
            <w:pPr>
              <w:spacing w:after="0"/>
              <w:rPr>
                <w:sz w:val="1"/>
                <w:szCs w:val="1"/>
                <w:color w:val="auto"/>
              </w:rPr>
            </w:pPr>
          </w:p>
        </w:tc>
      </w:tr>
      <w:tr>
        <w:trPr>
          <w:trHeight w:val="55"/>
        </w:trPr>
        <w:tc>
          <w:tcPr>
            <w:tcW w:w="4580" w:type="dxa"/>
            <w:vAlign w:val="bottom"/>
            <w:tcBorders>
              <w:bottom w:val="single" w:sz="8" w:color="auto"/>
            </w:tcBorders>
          </w:tcPr>
          <w:p>
            <w:pPr>
              <w:spacing w:after="0"/>
              <w:rPr>
                <w:sz w:val="4"/>
                <w:szCs w:val="4"/>
                <w:color w:val="auto"/>
              </w:rPr>
            </w:pPr>
          </w:p>
        </w:tc>
        <w:tc>
          <w:tcPr>
            <w:tcW w:w="5040" w:type="dxa"/>
            <w:vAlign w:val="bottom"/>
            <w:gridSpan w:val="2"/>
            <w:vMerge w:val="restart"/>
          </w:tcPr>
          <w:p>
            <w:pPr>
              <w:ind w:left="360"/>
              <w:spacing w:after="0"/>
              <w:rPr>
                <w:sz w:val="20"/>
                <w:szCs w:val="20"/>
                <w:color w:val="auto"/>
              </w:rPr>
            </w:pPr>
            <w:r>
              <w:rPr>
                <w:rFonts w:ascii="Arial" w:cs="Arial" w:eastAsia="Arial" w:hAnsi="Arial"/>
                <w:sz w:val="18"/>
                <w:szCs w:val="18"/>
                <w:color w:val="auto"/>
              </w:rPr>
              <w:t>Executive Officer and Director</w:t>
            </w:r>
          </w:p>
        </w:tc>
        <w:tc>
          <w:tcPr>
            <w:tcW w:w="3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580" w:type="dxa"/>
            <w:vAlign w:val="bottom"/>
            <w:vMerge w:val="restart"/>
          </w:tcPr>
          <w:p>
            <w:pPr>
              <w:jc w:val="center"/>
              <w:spacing w:after="0"/>
              <w:rPr>
                <w:sz w:val="20"/>
                <w:szCs w:val="20"/>
                <w:color w:val="auto"/>
              </w:rPr>
            </w:pPr>
            <w:r>
              <w:rPr>
                <w:rFonts w:ascii="Arial" w:cs="Arial" w:eastAsia="Arial" w:hAnsi="Arial"/>
                <w:sz w:val="18"/>
                <w:szCs w:val="18"/>
                <w:color w:val="auto"/>
                <w:w w:val="90"/>
              </w:rPr>
              <w:t>Ralph Lauren</w:t>
            </w:r>
          </w:p>
        </w:tc>
        <w:tc>
          <w:tcPr>
            <w:tcW w:w="50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4580" w:type="dxa"/>
            <w:vAlign w:val="bottom"/>
            <w:vMerge w:val="continue"/>
          </w:tcPr>
          <w:p>
            <w:pPr>
              <w:spacing w:after="0"/>
              <w:rPr>
                <w:sz w:val="7"/>
                <w:szCs w:val="7"/>
                <w:color w:val="auto"/>
              </w:rPr>
            </w:pPr>
          </w:p>
        </w:tc>
        <w:tc>
          <w:tcPr>
            <w:tcW w:w="5040" w:type="dxa"/>
            <w:vAlign w:val="bottom"/>
            <w:gridSpan w:val="2"/>
            <w:vMerge w:val="restart"/>
          </w:tcPr>
          <w:p>
            <w:pPr>
              <w:ind w:left="360"/>
              <w:spacing w:after="0"/>
              <w:rPr>
                <w:sz w:val="20"/>
                <w:szCs w:val="20"/>
                <w:color w:val="auto"/>
              </w:rPr>
            </w:pPr>
            <w:r>
              <w:rPr>
                <w:rFonts w:ascii="Arial" w:cs="Arial" w:eastAsia="Arial" w:hAnsi="Arial"/>
                <w:sz w:val="18"/>
                <w:szCs w:val="18"/>
                <w:color w:val="auto"/>
              </w:rPr>
              <w:t>(Principal Executive Officer)</w:t>
            </w: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50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4580" w:type="dxa"/>
            <w:vAlign w:val="bottom"/>
          </w:tcPr>
          <w:p>
            <w:pPr>
              <w:jc w:val="center"/>
              <w:spacing w:after="0"/>
              <w:rPr>
                <w:sz w:val="20"/>
                <w:szCs w:val="20"/>
                <w:color w:val="auto"/>
              </w:rPr>
            </w:pPr>
            <w:r>
              <w:rPr>
                <w:rFonts w:ascii="Arial" w:cs="Arial" w:eastAsia="Arial" w:hAnsi="Arial"/>
                <w:sz w:val="18"/>
                <w:szCs w:val="18"/>
                <w:color w:val="auto"/>
                <w:w w:val="93"/>
              </w:rPr>
              <w:t>/s/ ROGER N. FARAH</w:t>
            </w:r>
          </w:p>
        </w:tc>
        <w:tc>
          <w:tcPr>
            <w:tcW w:w="5040" w:type="dxa"/>
            <w:vAlign w:val="bottom"/>
            <w:gridSpan w:val="2"/>
          </w:tcPr>
          <w:p>
            <w:pPr>
              <w:ind w:left="360"/>
              <w:spacing w:after="0"/>
              <w:rPr>
                <w:sz w:val="20"/>
                <w:szCs w:val="20"/>
                <w:color w:val="auto"/>
              </w:rPr>
            </w:pPr>
            <w:r>
              <w:rPr>
                <w:rFonts w:ascii="Arial" w:cs="Arial" w:eastAsia="Arial" w:hAnsi="Arial"/>
                <w:sz w:val="18"/>
                <w:szCs w:val="18"/>
                <w:color w:val="auto"/>
              </w:rPr>
              <w:t>President, Chief Operating Officer</w:t>
            </w:r>
          </w:p>
        </w:tc>
        <w:tc>
          <w:tcPr>
            <w:tcW w:w="3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June 30, 2005</w:t>
            </w:r>
          </w:p>
        </w:tc>
        <w:tc>
          <w:tcPr>
            <w:tcW w:w="0" w:type="dxa"/>
            <w:vAlign w:val="bottom"/>
          </w:tcPr>
          <w:p>
            <w:pPr>
              <w:spacing w:after="0"/>
              <w:rPr>
                <w:sz w:val="1"/>
                <w:szCs w:val="1"/>
                <w:color w:val="auto"/>
              </w:rPr>
            </w:pPr>
          </w:p>
        </w:tc>
      </w:tr>
      <w:tr>
        <w:trPr>
          <w:trHeight w:val="55"/>
        </w:trPr>
        <w:tc>
          <w:tcPr>
            <w:tcW w:w="4580" w:type="dxa"/>
            <w:vAlign w:val="bottom"/>
            <w:tcBorders>
              <w:bottom w:val="single" w:sz="8" w:color="auto"/>
            </w:tcBorders>
          </w:tcPr>
          <w:p>
            <w:pPr>
              <w:spacing w:after="0"/>
              <w:rPr>
                <w:sz w:val="4"/>
                <w:szCs w:val="4"/>
                <w:color w:val="auto"/>
              </w:rPr>
            </w:pPr>
          </w:p>
        </w:tc>
        <w:tc>
          <w:tcPr>
            <w:tcW w:w="5040" w:type="dxa"/>
            <w:vAlign w:val="bottom"/>
            <w:gridSpan w:val="2"/>
            <w:vMerge w:val="restart"/>
          </w:tcPr>
          <w:p>
            <w:pPr>
              <w:ind w:left="360"/>
              <w:spacing w:after="0"/>
              <w:rPr>
                <w:sz w:val="20"/>
                <w:szCs w:val="20"/>
                <w:color w:val="auto"/>
              </w:rPr>
            </w:pPr>
            <w:r>
              <w:rPr>
                <w:rFonts w:ascii="Arial" w:cs="Arial" w:eastAsia="Arial" w:hAnsi="Arial"/>
                <w:sz w:val="18"/>
                <w:szCs w:val="18"/>
                <w:color w:val="auto"/>
              </w:rPr>
              <w:t>and Director</w:t>
            </w:r>
          </w:p>
        </w:tc>
        <w:tc>
          <w:tcPr>
            <w:tcW w:w="3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580" w:type="dxa"/>
            <w:vAlign w:val="bottom"/>
            <w:vMerge w:val="restart"/>
          </w:tcPr>
          <w:p>
            <w:pPr>
              <w:jc w:val="center"/>
              <w:spacing w:after="0"/>
              <w:rPr>
                <w:sz w:val="20"/>
                <w:szCs w:val="20"/>
                <w:color w:val="auto"/>
              </w:rPr>
            </w:pPr>
            <w:r>
              <w:rPr>
                <w:rFonts w:ascii="Arial" w:cs="Arial" w:eastAsia="Arial" w:hAnsi="Arial"/>
                <w:sz w:val="18"/>
                <w:szCs w:val="18"/>
                <w:color w:val="auto"/>
                <w:w w:val="90"/>
              </w:rPr>
              <w:t>Roger N. Farah</w:t>
            </w:r>
          </w:p>
        </w:tc>
        <w:tc>
          <w:tcPr>
            <w:tcW w:w="50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5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4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7"/>
        </w:trPr>
        <w:tc>
          <w:tcPr>
            <w:tcW w:w="4580" w:type="dxa"/>
            <w:vAlign w:val="bottom"/>
          </w:tcPr>
          <w:p>
            <w:pPr>
              <w:jc w:val="center"/>
              <w:spacing w:after="0"/>
              <w:rPr>
                <w:sz w:val="20"/>
                <w:szCs w:val="20"/>
                <w:color w:val="auto"/>
              </w:rPr>
            </w:pPr>
            <w:r>
              <w:rPr>
                <w:rFonts w:ascii="Arial" w:cs="Arial" w:eastAsia="Arial" w:hAnsi="Arial"/>
                <w:sz w:val="18"/>
                <w:szCs w:val="18"/>
                <w:color w:val="auto"/>
                <w:w w:val="95"/>
              </w:rPr>
              <w:t>/s/ TRACEY T. TRAVIS</w:t>
            </w:r>
          </w:p>
        </w:tc>
        <w:tc>
          <w:tcPr>
            <w:tcW w:w="5040" w:type="dxa"/>
            <w:vAlign w:val="bottom"/>
            <w:gridSpan w:val="2"/>
          </w:tcPr>
          <w:p>
            <w:pPr>
              <w:ind w:left="360"/>
              <w:spacing w:after="0"/>
              <w:rPr>
                <w:sz w:val="20"/>
                <w:szCs w:val="20"/>
                <w:color w:val="auto"/>
              </w:rPr>
            </w:pPr>
            <w:r>
              <w:rPr>
                <w:rFonts w:ascii="Arial" w:cs="Arial" w:eastAsia="Arial" w:hAnsi="Arial"/>
                <w:sz w:val="18"/>
                <w:szCs w:val="18"/>
                <w:color w:val="auto"/>
              </w:rPr>
              <w:t>Senior Vice President and Chief</w:t>
            </w:r>
          </w:p>
        </w:tc>
        <w:tc>
          <w:tcPr>
            <w:tcW w:w="3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June 30, 2005</w:t>
            </w:r>
          </w:p>
        </w:tc>
        <w:tc>
          <w:tcPr>
            <w:tcW w:w="0" w:type="dxa"/>
            <w:vAlign w:val="bottom"/>
          </w:tcPr>
          <w:p>
            <w:pPr>
              <w:spacing w:after="0"/>
              <w:rPr>
                <w:sz w:val="1"/>
                <w:szCs w:val="1"/>
                <w:color w:val="auto"/>
              </w:rPr>
            </w:pPr>
          </w:p>
        </w:tc>
      </w:tr>
      <w:tr>
        <w:trPr>
          <w:trHeight w:val="55"/>
        </w:trPr>
        <w:tc>
          <w:tcPr>
            <w:tcW w:w="4580" w:type="dxa"/>
            <w:vAlign w:val="bottom"/>
            <w:tcBorders>
              <w:bottom w:val="single" w:sz="8" w:color="auto"/>
            </w:tcBorders>
          </w:tcPr>
          <w:p>
            <w:pPr>
              <w:spacing w:after="0"/>
              <w:rPr>
                <w:sz w:val="4"/>
                <w:szCs w:val="4"/>
                <w:color w:val="auto"/>
              </w:rPr>
            </w:pPr>
          </w:p>
        </w:tc>
        <w:tc>
          <w:tcPr>
            <w:tcW w:w="5040" w:type="dxa"/>
            <w:vAlign w:val="bottom"/>
            <w:gridSpan w:val="2"/>
            <w:vMerge w:val="restart"/>
          </w:tcPr>
          <w:p>
            <w:pPr>
              <w:ind w:left="360"/>
              <w:spacing w:after="0"/>
              <w:rPr>
                <w:sz w:val="20"/>
                <w:szCs w:val="20"/>
                <w:color w:val="auto"/>
              </w:rPr>
            </w:pPr>
            <w:r>
              <w:rPr>
                <w:rFonts w:ascii="Arial" w:cs="Arial" w:eastAsia="Arial" w:hAnsi="Arial"/>
                <w:sz w:val="18"/>
                <w:szCs w:val="18"/>
                <w:color w:val="auto"/>
              </w:rPr>
              <w:t>Financial Officer (Principal Financial</w:t>
            </w:r>
          </w:p>
        </w:tc>
        <w:tc>
          <w:tcPr>
            <w:tcW w:w="3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580" w:type="dxa"/>
            <w:vAlign w:val="bottom"/>
            <w:vMerge w:val="restart"/>
          </w:tcPr>
          <w:p>
            <w:pPr>
              <w:jc w:val="center"/>
              <w:spacing w:after="0"/>
              <w:rPr>
                <w:sz w:val="20"/>
                <w:szCs w:val="20"/>
                <w:color w:val="auto"/>
              </w:rPr>
            </w:pPr>
            <w:r>
              <w:rPr>
                <w:rFonts w:ascii="Arial" w:cs="Arial" w:eastAsia="Arial" w:hAnsi="Arial"/>
                <w:sz w:val="18"/>
                <w:szCs w:val="18"/>
                <w:color w:val="auto"/>
                <w:w w:val="90"/>
              </w:rPr>
              <w:t>Tracey T. Travis</w:t>
            </w:r>
          </w:p>
        </w:tc>
        <w:tc>
          <w:tcPr>
            <w:tcW w:w="50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4580" w:type="dxa"/>
            <w:vAlign w:val="bottom"/>
            <w:vMerge w:val="continue"/>
          </w:tcPr>
          <w:p>
            <w:pPr>
              <w:spacing w:after="0"/>
              <w:rPr>
                <w:sz w:val="7"/>
                <w:szCs w:val="7"/>
                <w:color w:val="auto"/>
              </w:rPr>
            </w:pPr>
          </w:p>
        </w:tc>
        <w:tc>
          <w:tcPr>
            <w:tcW w:w="5040" w:type="dxa"/>
            <w:vAlign w:val="bottom"/>
            <w:gridSpan w:val="2"/>
            <w:vMerge w:val="restart"/>
          </w:tcPr>
          <w:p>
            <w:pPr>
              <w:ind w:left="360"/>
              <w:spacing w:after="0"/>
              <w:rPr>
                <w:sz w:val="20"/>
                <w:szCs w:val="20"/>
                <w:color w:val="auto"/>
              </w:rPr>
            </w:pPr>
            <w:r>
              <w:rPr>
                <w:rFonts w:ascii="Arial" w:cs="Arial" w:eastAsia="Arial" w:hAnsi="Arial"/>
                <w:sz w:val="18"/>
                <w:szCs w:val="18"/>
                <w:color w:val="auto"/>
              </w:rPr>
              <w:t>and Accounting Officer)</w:t>
            </w: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50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4580" w:type="dxa"/>
            <w:vAlign w:val="bottom"/>
          </w:tcPr>
          <w:p>
            <w:pPr>
              <w:jc w:val="center"/>
              <w:spacing w:after="0"/>
              <w:rPr>
                <w:sz w:val="20"/>
                <w:szCs w:val="20"/>
                <w:color w:val="auto"/>
              </w:rPr>
            </w:pPr>
            <w:r>
              <w:rPr>
                <w:rFonts w:ascii="Arial" w:cs="Arial" w:eastAsia="Arial" w:hAnsi="Arial"/>
                <w:sz w:val="18"/>
                <w:szCs w:val="18"/>
                <w:color w:val="auto"/>
                <w:w w:val="96"/>
              </w:rPr>
              <w:t>/s/ ARNOLD H. ARONSON</w:t>
            </w:r>
          </w:p>
        </w:tc>
        <w:tc>
          <w:tcPr>
            <w:tcW w:w="504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c>
          <w:tcPr>
            <w:tcW w:w="3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June 30, 2005</w:t>
            </w:r>
          </w:p>
        </w:tc>
        <w:tc>
          <w:tcPr>
            <w:tcW w:w="0" w:type="dxa"/>
            <w:vAlign w:val="bottom"/>
          </w:tcPr>
          <w:p>
            <w:pPr>
              <w:spacing w:after="0"/>
              <w:rPr>
                <w:sz w:val="1"/>
                <w:szCs w:val="1"/>
                <w:color w:val="auto"/>
              </w:rPr>
            </w:pPr>
          </w:p>
        </w:tc>
      </w:tr>
      <w:tr>
        <w:trPr>
          <w:trHeight w:val="41"/>
        </w:trPr>
        <w:tc>
          <w:tcPr>
            <w:tcW w:w="458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4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95"/>
              </w:rPr>
              <w:t>Arnold H. Aronson</w:t>
            </w:r>
          </w:p>
        </w:tc>
        <w:tc>
          <w:tcPr>
            <w:tcW w:w="36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580" w:type="dxa"/>
            <w:vAlign w:val="bottom"/>
          </w:tcPr>
          <w:p>
            <w:pPr>
              <w:jc w:val="center"/>
              <w:spacing w:after="0"/>
              <w:rPr>
                <w:sz w:val="20"/>
                <w:szCs w:val="20"/>
                <w:color w:val="auto"/>
              </w:rPr>
            </w:pPr>
            <w:r>
              <w:rPr>
                <w:rFonts w:ascii="Arial" w:cs="Arial" w:eastAsia="Arial" w:hAnsi="Arial"/>
                <w:sz w:val="18"/>
                <w:szCs w:val="18"/>
                <w:color w:val="auto"/>
                <w:w w:val="96"/>
              </w:rPr>
              <w:t>/s/ FRANK A. BENNACK, JR.</w:t>
            </w:r>
          </w:p>
        </w:tc>
        <w:tc>
          <w:tcPr>
            <w:tcW w:w="504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c>
          <w:tcPr>
            <w:tcW w:w="3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June 30, 2005</w:t>
            </w:r>
          </w:p>
        </w:tc>
        <w:tc>
          <w:tcPr>
            <w:tcW w:w="0" w:type="dxa"/>
            <w:vAlign w:val="bottom"/>
          </w:tcPr>
          <w:p>
            <w:pPr>
              <w:spacing w:after="0"/>
              <w:rPr>
                <w:sz w:val="1"/>
                <w:szCs w:val="1"/>
                <w:color w:val="auto"/>
              </w:rPr>
            </w:pPr>
          </w:p>
        </w:tc>
      </w:tr>
      <w:tr>
        <w:trPr>
          <w:trHeight w:val="41"/>
        </w:trPr>
        <w:tc>
          <w:tcPr>
            <w:tcW w:w="458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4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90"/>
              </w:rPr>
              <w:t>Frank A. Bennack, Jr.</w:t>
            </w:r>
          </w:p>
        </w:tc>
        <w:tc>
          <w:tcPr>
            <w:tcW w:w="36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580" w:type="dxa"/>
            <w:vAlign w:val="bottom"/>
          </w:tcPr>
          <w:p>
            <w:pPr>
              <w:jc w:val="center"/>
              <w:spacing w:after="0"/>
              <w:rPr>
                <w:sz w:val="20"/>
                <w:szCs w:val="20"/>
                <w:color w:val="auto"/>
              </w:rPr>
            </w:pPr>
            <w:r>
              <w:rPr>
                <w:rFonts w:ascii="Arial" w:cs="Arial" w:eastAsia="Arial" w:hAnsi="Arial"/>
                <w:sz w:val="18"/>
                <w:szCs w:val="18"/>
                <w:color w:val="auto"/>
                <w:w w:val="92"/>
              </w:rPr>
              <w:t>/s/ DR. JOYCE F. BROWN</w:t>
            </w:r>
          </w:p>
        </w:tc>
        <w:tc>
          <w:tcPr>
            <w:tcW w:w="504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c>
          <w:tcPr>
            <w:tcW w:w="3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June 30, 2005</w:t>
            </w:r>
          </w:p>
        </w:tc>
        <w:tc>
          <w:tcPr>
            <w:tcW w:w="0" w:type="dxa"/>
            <w:vAlign w:val="bottom"/>
          </w:tcPr>
          <w:p>
            <w:pPr>
              <w:spacing w:after="0"/>
              <w:rPr>
                <w:sz w:val="1"/>
                <w:szCs w:val="1"/>
                <w:color w:val="auto"/>
              </w:rPr>
            </w:pPr>
          </w:p>
        </w:tc>
      </w:tr>
      <w:tr>
        <w:trPr>
          <w:trHeight w:val="41"/>
        </w:trPr>
        <w:tc>
          <w:tcPr>
            <w:tcW w:w="458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4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91"/>
              </w:rPr>
              <w:t>Dr. Joyce F. Brown</w:t>
            </w:r>
          </w:p>
        </w:tc>
        <w:tc>
          <w:tcPr>
            <w:tcW w:w="36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580" w:type="dxa"/>
            <w:vAlign w:val="bottom"/>
          </w:tcPr>
          <w:p>
            <w:pPr>
              <w:jc w:val="center"/>
              <w:spacing w:after="0"/>
              <w:rPr>
                <w:sz w:val="20"/>
                <w:szCs w:val="20"/>
                <w:color w:val="auto"/>
              </w:rPr>
            </w:pPr>
            <w:r>
              <w:rPr>
                <w:rFonts w:ascii="Arial" w:cs="Arial" w:eastAsia="Arial" w:hAnsi="Arial"/>
                <w:sz w:val="18"/>
                <w:szCs w:val="18"/>
                <w:color w:val="auto"/>
                <w:w w:val="98"/>
              </w:rPr>
              <w:t>/s/ JUDITH A. MCHALE</w:t>
            </w:r>
          </w:p>
        </w:tc>
        <w:tc>
          <w:tcPr>
            <w:tcW w:w="504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c>
          <w:tcPr>
            <w:tcW w:w="3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June 30, 2005</w:t>
            </w:r>
          </w:p>
        </w:tc>
        <w:tc>
          <w:tcPr>
            <w:tcW w:w="0" w:type="dxa"/>
            <w:vAlign w:val="bottom"/>
          </w:tcPr>
          <w:p>
            <w:pPr>
              <w:spacing w:after="0"/>
              <w:rPr>
                <w:sz w:val="1"/>
                <w:szCs w:val="1"/>
                <w:color w:val="auto"/>
              </w:rPr>
            </w:pPr>
          </w:p>
        </w:tc>
      </w:tr>
      <w:tr>
        <w:trPr>
          <w:trHeight w:val="41"/>
        </w:trPr>
        <w:tc>
          <w:tcPr>
            <w:tcW w:w="458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4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94"/>
              </w:rPr>
              <w:t>Judith A. McHale</w:t>
            </w:r>
          </w:p>
        </w:tc>
        <w:tc>
          <w:tcPr>
            <w:tcW w:w="36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580" w:type="dxa"/>
            <w:vAlign w:val="bottom"/>
          </w:tcPr>
          <w:p>
            <w:pPr>
              <w:jc w:val="center"/>
              <w:spacing w:after="0"/>
              <w:rPr>
                <w:sz w:val="20"/>
                <w:szCs w:val="20"/>
                <w:color w:val="auto"/>
              </w:rPr>
            </w:pPr>
            <w:r>
              <w:rPr>
                <w:rFonts w:ascii="Arial" w:cs="Arial" w:eastAsia="Arial" w:hAnsi="Arial"/>
                <w:sz w:val="18"/>
                <w:szCs w:val="18"/>
                <w:color w:val="auto"/>
                <w:w w:val="99"/>
              </w:rPr>
              <w:t>/s/ MYRON E. ULLMAN, III</w:t>
            </w:r>
          </w:p>
        </w:tc>
        <w:tc>
          <w:tcPr>
            <w:tcW w:w="504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c>
          <w:tcPr>
            <w:tcW w:w="3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June 30, 2005</w:t>
            </w:r>
          </w:p>
        </w:tc>
        <w:tc>
          <w:tcPr>
            <w:tcW w:w="0" w:type="dxa"/>
            <w:vAlign w:val="bottom"/>
          </w:tcPr>
          <w:p>
            <w:pPr>
              <w:spacing w:after="0"/>
              <w:rPr>
                <w:sz w:val="1"/>
                <w:szCs w:val="1"/>
                <w:color w:val="auto"/>
              </w:rPr>
            </w:pPr>
          </w:p>
        </w:tc>
      </w:tr>
      <w:tr>
        <w:trPr>
          <w:trHeight w:val="41"/>
        </w:trPr>
        <w:tc>
          <w:tcPr>
            <w:tcW w:w="458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4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97"/>
              </w:rPr>
              <w:t>Myron E. Ullman, III</w:t>
            </w:r>
          </w:p>
        </w:tc>
        <w:tc>
          <w:tcPr>
            <w:tcW w:w="36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4580" w:type="dxa"/>
            <w:vAlign w:val="bottom"/>
          </w:tcPr>
          <w:p>
            <w:pPr>
              <w:spacing w:after="0"/>
              <w:rPr>
                <w:sz w:val="24"/>
                <w:szCs w:val="24"/>
                <w:color w:val="auto"/>
              </w:rPr>
            </w:pPr>
          </w:p>
        </w:tc>
        <w:tc>
          <w:tcPr>
            <w:tcW w:w="5040" w:type="dxa"/>
            <w:vAlign w:val="bottom"/>
            <w:gridSpan w:val="2"/>
          </w:tcPr>
          <w:p>
            <w:pPr>
              <w:ind w:left="1040"/>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5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6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POLO RALPH LAUREN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0380" w:type="dxa"/>
            <w:vAlign w:val="bottom"/>
          </w:tcPr>
          <w:p>
            <w:pPr>
              <w:spacing w:after="0"/>
              <w:rPr>
                <w:sz w:val="15"/>
                <w:szCs w:val="15"/>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Page</w:t>
            </w: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STATEMENTS</w:t>
            </w:r>
          </w:p>
        </w:tc>
        <w:tc>
          <w:tcPr>
            <w:tcW w:w="6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Management’s Report on Responsibility for Financial Statements</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F-2</w:t>
            </w: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Reports of Independent Registered Public Accounting Firm</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F-3</w:t>
            </w: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Consolidated Balance Sheets as of April 2, 2005 and April 3, 2004 (as restated)</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F-6</w:t>
            </w:r>
          </w:p>
        </w:tc>
      </w:tr>
      <w:tr>
        <w:trPr>
          <w:trHeight w:val="202"/>
        </w:trPr>
        <w:tc>
          <w:tcPr>
            <w:tcW w:w="20" w:type="dxa"/>
            <w:vAlign w:val="bottom"/>
          </w:tcPr>
          <w:p>
            <w:pPr>
              <w:spacing w:after="0"/>
              <w:rPr>
                <w:sz w:val="17"/>
                <w:szCs w:val="17"/>
                <w:color w:val="auto"/>
              </w:rPr>
            </w:pPr>
          </w:p>
        </w:tc>
        <w:tc>
          <w:tcPr>
            <w:tcW w:w="10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Consolidated Statements of Income for the year ended April 2, 2005 and for the years ended April 3, 2004 and March 29, 2003 (as</w:t>
            </w: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0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restated)</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F-7</w:t>
            </w:r>
          </w:p>
        </w:tc>
      </w:tr>
      <w:tr>
        <w:trPr>
          <w:trHeight w:val="202"/>
        </w:trPr>
        <w:tc>
          <w:tcPr>
            <w:tcW w:w="20" w:type="dxa"/>
            <w:vAlign w:val="bottom"/>
          </w:tcPr>
          <w:p>
            <w:pPr>
              <w:spacing w:after="0"/>
              <w:rPr>
                <w:sz w:val="17"/>
                <w:szCs w:val="17"/>
                <w:color w:val="auto"/>
              </w:rPr>
            </w:pPr>
          </w:p>
        </w:tc>
        <w:tc>
          <w:tcPr>
            <w:tcW w:w="10380" w:type="dxa"/>
            <w:vAlign w:val="bottom"/>
          </w:tcPr>
          <w:p>
            <w:pPr>
              <w:spacing w:after="0" w:line="201" w:lineRule="exact"/>
              <w:rPr>
                <w:sz w:val="20"/>
                <w:szCs w:val="20"/>
                <w:color w:val="auto"/>
              </w:rPr>
            </w:pPr>
            <w:r>
              <w:rPr>
                <w:rFonts w:ascii="Arial" w:cs="Arial" w:eastAsia="Arial" w:hAnsi="Arial"/>
                <w:sz w:val="18"/>
                <w:szCs w:val="18"/>
                <w:color w:val="auto"/>
                <w:w w:val="97"/>
              </w:rPr>
              <w:t>Consolidated Statements of Stockholders’ Equity for the year ended April 2, 2005 and for the years ended April 3, 2004 and March 29,</w:t>
            </w: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0380" w:type="dxa"/>
            <w:vAlign w:val="bottom"/>
          </w:tcPr>
          <w:p>
            <w:pPr>
              <w:ind w:left="120"/>
              <w:spacing w:after="0"/>
              <w:rPr>
                <w:sz w:val="20"/>
                <w:szCs w:val="20"/>
                <w:color w:val="auto"/>
              </w:rPr>
            </w:pPr>
            <w:r>
              <w:rPr>
                <w:rFonts w:ascii="Arial" w:cs="Arial" w:eastAsia="Arial" w:hAnsi="Arial"/>
                <w:sz w:val="18"/>
                <w:szCs w:val="18"/>
                <w:color w:val="auto"/>
              </w:rPr>
              <w:t>2003 (as restated)</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F-8</w:t>
            </w:r>
          </w:p>
        </w:tc>
      </w:tr>
      <w:tr>
        <w:trPr>
          <w:trHeight w:val="202"/>
        </w:trPr>
        <w:tc>
          <w:tcPr>
            <w:tcW w:w="20" w:type="dxa"/>
            <w:vAlign w:val="bottom"/>
          </w:tcPr>
          <w:p>
            <w:pPr>
              <w:spacing w:after="0"/>
              <w:rPr>
                <w:sz w:val="17"/>
                <w:szCs w:val="17"/>
                <w:color w:val="auto"/>
              </w:rPr>
            </w:pPr>
          </w:p>
        </w:tc>
        <w:tc>
          <w:tcPr>
            <w:tcW w:w="10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Consolidated Statements of Cash Flows for the year ended April 2, 2005 and for the years ended April 3, 2004 and March 29, 2003 (as</w:t>
            </w: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0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restated)</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F-9</w:t>
            </w: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F-10</w:t>
            </w: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Schedule II — Valuation and Qualifying Accounts</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F-44</w:t>
            </w:r>
          </w:p>
        </w:tc>
      </w:tr>
    </w:tbl>
    <w:p>
      <w:pPr>
        <w:spacing w:after="0" w:line="94" w:lineRule="exact"/>
        <w:rPr>
          <w:sz w:val="20"/>
          <w:szCs w:val="20"/>
          <w:color w:val="auto"/>
        </w:rPr>
      </w:pPr>
    </w:p>
    <w:p>
      <w:pPr>
        <w:ind w:right="420" w:firstLine="260"/>
        <w:spacing w:after="0" w:line="277" w:lineRule="auto"/>
        <w:rPr>
          <w:sz w:val="20"/>
          <w:szCs w:val="20"/>
          <w:color w:val="auto"/>
        </w:rPr>
      </w:pPr>
      <w:r>
        <w:rPr>
          <w:rFonts w:ascii="Arial" w:cs="Arial" w:eastAsia="Arial" w:hAnsi="Arial"/>
          <w:sz w:val="18"/>
          <w:szCs w:val="18"/>
          <w:color w:val="auto"/>
        </w:rPr>
        <w:t>All other schedules are omitted because they are not applicable or the required information is shown in the consolidated financial statements or notes thereto.</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RESPONSIBILITY FOR FINANCIAL STATEMENTS</w:t>
      </w:r>
    </w:p>
    <w:p>
      <w:pPr>
        <w:spacing w:after="0" w:line="121" w:lineRule="exact"/>
        <w:rPr>
          <w:sz w:val="20"/>
          <w:szCs w:val="20"/>
          <w:color w:val="auto"/>
        </w:rPr>
      </w:pPr>
    </w:p>
    <w:p>
      <w:pPr>
        <w:jc w:val="both"/>
        <w:ind w:right="260" w:firstLine="267"/>
        <w:spacing w:after="0" w:line="312" w:lineRule="auto"/>
        <w:rPr>
          <w:sz w:val="20"/>
          <w:szCs w:val="20"/>
          <w:color w:val="auto"/>
        </w:rPr>
      </w:pPr>
      <w:r>
        <w:rPr>
          <w:rFonts w:ascii="Arial" w:cs="Arial" w:eastAsia="Arial" w:hAnsi="Arial"/>
          <w:sz w:val="16"/>
          <w:szCs w:val="16"/>
          <w:color w:val="auto"/>
        </w:rPr>
        <w:t>The management of Polo Ralph Lauren Corporation is responsible for the preparation, objectivity and integrity of the consolidated financial statements and other information contained in this Annual Report. The consolidated financial statements have been prepared in accordance with accounting principles generally accepted in the United States and include some amounts that are based on management’s informed judgements and best estimates.</w:t>
      </w:r>
    </w:p>
    <w:p>
      <w:pPr>
        <w:spacing w:after="0" w:line="39" w:lineRule="exact"/>
        <w:rPr>
          <w:sz w:val="20"/>
          <w:szCs w:val="20"/>
          <w:color w:val="auto"/>
        </w:rPr>
      </w:pPr>
    </w:p>
    <w:p>
      <w:pPr>
        <w:ind w:right="420" w:firstLine="270"/>
        <w:spacing w:after="0" w:line="264" w:lineRule="auto"/>
        <w:rPr>
          <w:sz w:val="20"/>
          <w:szCs w:val="20"/>
          <w:color w:val="auto"/>
        </w:rPr>
      </w:pPr>
      <w:r>
        <w:rPr>
          <w:rFonts w:ascii="Arial" w:cs="Arial" w:eastAsia="Arial" w:hAnsi="Arial"/>
          <w:sz w:val="18"/>
          <w:szCs w:val="18"/>
          <w:color w:val="auto"/>
        </w:rPr>
        <w:t>Deloitte &amp; Touche LLP, an independent registered public accounting firm, has audited these consolidated financial statements in accordance with the standards of the Public Company Accounting Oversight Board (United States) and have expressed herein their unqualified opinion on those financial statements.</w:t>
      </w:r>
    </w:p>
    <w:p>
      <w:pPr>
        <w:spacing w:after="0" w:line="73" w:lineRule="exact"/>
        <w:rPr>
          <w:sz w:val="20"/>
          <w:szCs w:val="20"/>
          <w:color w:val="auto"/>
        </w:rPr>
      </w:pPr>
    </w:p>
    <w:p>
      <w:pPr>
        <w:ind w:right="100" w:firstLine="267"/>
        <w:spacing w:after="0" w:line="257" w:lineRule="auto"/>
        <w:rPr>
          <w:sz w:val="20"/>
          <w:szCs w:val="20"/>
          <w:color w:val="auto"/>
        </w:rPr>
      </w:pPr>
      <w:r>
        <w:rPr>
          <w:rFonts w:ascii="Arial" w:cs="Arial" w:eastAsia="Arial" w:hAnsi="Arial"/>
          <w:sz w:val="18"/>
          <w:szCs w:val="18"/>
          <w:color w:val="auto"/>
        </w:rPr>
        <w:t>The Audit Committee of the Board of Directors, which oversees all of the Company’s financial reporting process on behalf of the Board of Directors, consists solely of independent directors, meets with the independent registered accountants, internal auditors and management periodically to review their respective activities and the discharge of their respective responsibilities. Both the independent registered accountants and the internal auditors have unrestricted access to the Audit Committee, with or without management, to discuss the scope and results of their audits and any recommendations regarding the system of internal controls.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June 30, 2005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color w:val="auto"/>
                <w:w w:val="99"/>
              </w:rPr>
              <w:t>/s/ RALPH LAUREN</w:t>
            </w:r>
          </w:p>
        </w:tc>
        <w:tc>
          <w:tcPr>
            <w:tcW w:w="8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TRACEY T. TRAVIS</w:t>
            </w:r>
          </w:p>
        </w:tc>
      </w:tr>
      <w:tr>
        <w:trPr>
          <w:trHeight w:val="439"/>
        </w:trPr>
        <w:tc>
          <w:tcPr>
            <w:tcW w:w="4920" w:type="dxa"/>
            <w:vAlign w:val="bottom"/>
          </w:tcPr>
          <w:p>
            <w:pPr>
              <w:jc w:val="center"/>
              <w:ind w:left="730"/>
              <w:spacing w:after="0"/>
              <w:rPr>
                <w:sz w:val="20"/>
                <w:szCs w:val="20"/>
                <w:color w:val="auto"/>
              </w:rPr>
            </w:pPr>
            <w:r>
              <w:rPr>
                <w:rFonts w:ascii="Arial" w:cs="Arial" w:eastAsia="Arial" w:hAnsi="Arial"/>
                <w:sz w:val="18"/>
                <w:szCs w:val="18"/>
                <w:color w:val="auto"/>
                <w:w w:val="90"/>
              </w:rPr>
              <w:t>Ralph Lauren</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Tracey T. Travis</w:t>
            </w:r>
          </w:p>
        </w:tc>
      </w:tr>
      <w:tr>
        <w:trPr>
          <w:trHeight w:val="432"/>
        </w:trPr>
        <w:tc>
          <w:tcPr>
            <w:tcW w:w="4920" w:type="dxa"/>
            <w:vAlign w:val="bottom"/>
          </w:tcPr>
          <w:p>
            <w:pPr>
              <w:jc w:val="center"/>
              <w:ind w:left="730"/>
              <w:spacing w:after="0"/>
              <w:rPr>
                <w:sz w:val="20"/>
                <w:szCs w:val="20"/>
                <w:color w:val="auto"/>
              </w:rPr>
            </w:pPr>
            <w:r>
              <w:rPr>
                <w:rFonts w:ascii="Arial" w:cs="Arial" w:eastAsia="Arial" w:hAnsi="Arial"/>
                <w:sz w:val="18"/>
                <w:szCs w:val="18"/>
                <w:i w:val="1"/>
                <w:iCs w:val="1"/>
                <w:color w:val="auto"/>
                <w:w w:val="92"/>
              </w:rPr>
              <w:t>Chairman and Chief Executive Officer</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2"/>
              </w:rPr>
              <w:t>Senior Vice President and Chief Financial Officer</w:t>
            </w:r>
          </w:p>
        </w:tc>
      </w:tr>
      <w:tr>
        <w:trPr>
          <w:trHeight w:val="405"/>
        </w:trPr>
        <w:tc>
          <w:tcPr>
            <w:tcW w:w="4920" w:type="dxa"/>
            <w:vAlign w:val="bottom"/>
          </w:tcPr>
          <w:p>
            <w:pPr>
              <w:spacing w:after="0"/>
              <w:rPr>
                <w:sz w:val="24"/>
                <w:szCs w:val="24"/>
                <w:color w:val="auto"/>
              </w:rPr>
            </w:pPr>
          </w:p>
        </w:tc>
        <w:tc>
          <w:tcPr>
            <w:tcW w:w="6500" w:type="dxa"/>
            <w:vAlign w:val="bottom"/>
            <w:gridSpan w:val="3"/>
          </w:tcPr>
          <w:p>
            <w:pPr>
              <w:ind w:left="660"/>
              <w:spacing w:after="0"/>
              <w:rPr>
                <w:sz w:val="20"/>
                <w:szCs w:val="20"/>
                <w:color w:val="auto"/>
              </w:rPr>
            </w:pPr>
            <w:r>
              <w:rPr>
                <w:rFonts w:ascii="Arial" w:cs="Arial" w:eastAsia="Arial" w:hAnsi="Arial"/>
                <w:sz w:val="18"/>
                <w:szCs w:val="18"/>
                <w:color w:val="auto"/>
              </w:rPr>
              <w:t>F-2</w:t>
            </w:r>
          </w:p>
        </w:tc>
      </w:tr>
      <w:tr>
        <w:trPr>
          <w:trHeight w:val="226"/>
        </w:trPr>
        <w:tc>
          <w:tcPr>
            <w:tcW w:w="49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Polo Ralph Lauren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New York</w:t>
      </w:r>
    </w:p>
    <w:p>
      <w:pPr>
        <w:spacing w:after="0" w:line="103" w:lineRule="exact"/>
        <w:rPr>
          <w:sz w:val="20"/>
          <w:szCs w:val="20"/>
          <w:color w:val="auto"/>
        </w:rPr>
      </w:pPr>
    </w:p>
    <w:p>
      <w:pPr>
        <w:ind w:right="120" w:firstLine="267"/>
        <w:spacing w:after="0" w:line="257" w:lineRule="auto"/>
        <w:rPr>
          <w:sz w:val="20"/>
          <w:szCs w:val="20"/>
          <w:color w:val="auto"/>
        </w:rPr>
      </w:pPr>
      <w:r>
        <w:rPr>
          <w:rFonts w:ascii="Arial" w:cs="Arial" w:eastAsia="Arial" w:hAnsi="Arial"/>
          <w:sz w:val="18"/>
          <w:szCs w:val="18"/>
          <w:color w:val="auto"/>
        </w:rPr>
        <w:t>We have audited the accompanying consolidated balance sheets of Polo Ralph Lauren Corporation and subsidiaries (the “Company”) as of April 2, 2005 and April 3, 2004, and the related consolidated statements of income, stockholders’ equity, and cash flows for each of the three fiscal years in the period ended April 2, 2005. Our audits also included the financial statement schedule listed in the Index at Item 15. These financial statements and financial statement schedule are the responsibility of the Company’s management. Our responsibility is to express an opinion on the financial statements and financial statement schedule based on our audits.</w:t>
      </w:r>
    </w:p>
    <w:p>
      <w:pPr>
        <w:spacing w:after="0" w:line="80" w:lineRule="exact"/>
        <w:rPr>
          <w:sz w:val="20"/>
          <w:szCs w:val="20"/>
          <w:color w:val="auto"/>
        </w:rPr>
      </w:pPr>
    </w:p>
    <w:p>
      <w:pPr>
        <w:ind w:right="100" w:firstLine="267"/>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ind w:right="80" w:firstLine="270"/>
        <w:spacing w:after="0" w:line="257"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Polo Ralph Lauren Corporation and subsidiaries as of April 2, 2005 and April 3, 2004, and the results of their operations and their cash flows for each of the three fiscal years in the period ended April 2, 2005, in conformity with accounting principles generally accepted in the United States of America. Also, in our opinion, such financial statement schedule, when considered in relation to the basic consolidated financial statements taken as a whole, present fairly, in all material respects, the information set forth therein.</w:t>
      </w:r>
    </w:p>
    <w:p>
      <w:pPr>
        <w:spacing w:after="0" w:line="80" w:lineRule="exact"/>
        <w:rPr>
          <w:sz w:val="20"/>
          <w:szCs w:val="20"/>
          <w:color w:val="auto"/>
        </w:rPr>
      </w:pPr>
    </w:p>
    <w:p>
      <w:pPr>
        <w:ind w:firstLine="260"/>
        <w:spacing w:after="0" w:line="277" w:lineRule="auto"/>
        <w:rPr>
          <w:sz w:val="20"/>
          <w:szCs w:val="20"/>
          <w:color w:val="auto"/>
        </w:rPr>
      </w:pPr>
      <w:r>
        <w:rPr>
          <w:rFonts w:ascii="Arial" w:cs="Arial" w:eastAsia="Arial" w:hAnsi="Arial"/>
          <w:sz w:val="18"/>
          <w:szCs w:val="18"/>
          <w:color w:val="auto"/>
        </w:rPr>
        <w:t>As discussed in Note 2, the accompanying consolidated financial statements as of April 3, 2004 and for the fiscal years ended April 3, 2004 and March 29, 2003 have been restated.</w:t>
      </w:r>
    </w:p>
    <w:p>
      <w:pPr>
        <w:spacing w:after="0" w:line="62" w:lineRule="exact"/>
        <w:rPr>
          <w:sz w:val="20"/>
          <w:szCs w:val="20"/>
          <w:color w:val="auto"/>
        </w:rPr>
      </w:pPr>
    </w:p>
    <w:p>
      <w:pPr>
        <w:ind w:right="120" w:firstLine="267"/>
        <w:spacing w:after="0" w:line="276"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the effectiveness of the Company’s internal control over financial reporting as of April 2, 2005, based on the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and our report dated June 30, 2005 expressed an unqualified opinion on management’s assessment of the effectiveness of the Company’s internal control over financial reporting and an adverse opinion on the effectiveness of the Company’s internal control over financial reporting because of a material weakness.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30, 2005</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Polo Ralph Lauren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New York</w:t>
      </w:r>
    </w:p>
    <w:p>
      <w:pPr>
        <w:spacing w:after="0" w:line="103" w:lineRule="exact"/>
        <w:rPr>
          <w:sz w:val="20"/>
          <w:szCs w:val="20"/>
          <w:color w:val="auto"/>
        </w:rPr>
      </w:pPr>
    </w:p>
    <w:p>
      <w:pPr>
        <w:ind w:firstLine="267"/>
        <w:spacing w:after="0" w:line="293" w:lineRule="auto"/>
        <w:rPr>
          <w:sz w:val="20"/>
          <w:szCs w:val="20"/>
          <w:color w:val="auto"/>
        </w:rPr>
      </w:pPr>
      <w:r>
        <w:rPr>
          <w:rFonts w:ascii="Arial" w:cs="Arial" w:eastAsia="Arial" w:hAnsi="Arial"/>
          <w:sz w:val="16"/>
          <w:szCs w:val="16"/>
          <w:color w:val="auto"/>
        </w:rPr>
        <w:t xml:space="preserve">We have audited management’s assessment, included in the accompanying Management’s Report of Internal Control Over Financial Reporting, that Polo Ralph Lauren Corporation and subsidiaries (the “Company”) did not maintain effective internal control over financial reporting as of April 2, 2005, because of the effect of the material weakness identified in management’s assessment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57" w:lineRule="exact"/>
        <w:rPr>
          <w:sz w:val="20"/>
          <w:szCs w:val="20"/>
          <w:color w:val="auto"/>
        </w:rPr>
      </w:pPr>
    </w:p>
    <w:p>
      <w:pPr>
        <w:ind w:right="20" w:firstLine="267"/>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80" w:lineRule="exact"/>
        <w:rPr>
          <w:sz w:val="20"/>
          <w:szCs w:val="20"/>
          <w:color w:val="auto"/>
        </w:rPr>
      </w:pPr>
    </w:p>
    <w:p>
      <w:pPr>
        <w:ind w:right="40" w:firstLine="260"/>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4"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79" w:lineRule="exact"/>
        <w:rPr>
          <w:sz w:val="20"/>
          <w:szCs w:val="20"/>
          <w:color w:val="auto"/>
        </w:rPr>
      </w:pPr>
    </w:p>
    <w:p>
      <w:pPr>
        <w:ind w:right="60" w:firstLine="260"/>
        <w:spacing w:after="0" w:line="255" w:lineRule="auto"/>
        <w:rPr>
          <w:sz w:val="20"/>
          <w:szCs w:val="20"/>
          <w:color w:val="auto"/>
        </w:rPr>
      </w:pPr>
      <w:r>
        <w:rPr>
          <w:rFonts w:ascii="Arial" w:cs="Arial" w:eastAsia="Arial" w:hAnsi="Arial"/>
          <w:sz w:val="18"/>
          <w:szCs w:val="18"/>
          <w:color w:val="auto"/>
        </w:rPr>
        <w:t>A material weakness is a significant deficiency, or combination of significant deficiencies, that results in more than a remote likelihood that a material misstatement of the annual or interim financial statements will not be prevented or detected. The following material weakness has been identified and included in management’s assessment: As of April 2, 2005, certain controls designed to prevent and detect errors related to income tax accounting and disclosures did not operate effectively. Specifically, the Company did not have enough resources with adequate expertise to identify and evaluate in a timely manner the tax implications of certain non-routine transactions and new state and federal tax legislation and to complete a comprehensive and timely review of the income tax accruals. This led to material misstatements in the income tax provision, current taxes payable, certain deferred tax assets and liabilities and required tax footnote disclosures.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267"/>
        <w:spacing w:after="0" w:line="264" w:lineRule="auto"/>
        <w:rPr>
          <w:sz w:val="20"/>
          <w:szCs w:val="20"/>
          <w:color w:val="auto"/>
        </w:rPr>
      </w:pPr>
      <w:r>
        <w:rPr>
          <w:rFonts w:ascii="Arial" w:cs="Arial" w:eastAsia="Arial" w:hAnsi="Arial"/>
          <w:sz w:val="18"/>
          <w:szCs w:val="18"/>
          <w:color w:val="auto"/>
        </w:rPr>
        <w:t>This material weakness was considered in determining the nature, timing, and extent of audit tests applied in our audit of the consolidated financial statements and the related financial statement schedule as of and for the year ended April 2, 2005, of the Company and this report does not affect our report on such financial statements and financial statement schedule.</w:t>
      </w:r>
    </w:p>
    <w:p>
      <w:pPr>
        <w:spacing w:after="0" w:line="73" w:lineRule="exact"/>
        <w:rPr>
          <w:sz w:val="20"/>
          <w:szCs w:val="20"/>
          <w:color w:val="auto"/>
        </w:rPr>
      </w:pPr>
    </w:p>
    <w:p>
      <w:pPr>
        <w:ind w:right="100" w:firstLine="270"/>
        <w:spacing w:after="0" w:line="297" w:lineRule="auto"/>
        <w:rPr>
          <w:sz w:val="20"/>
          <w:szCs w:val="20"/>
          <w:color w:val="auto"/>
        </w:rPr>
      </w:pPr>
      <w:r>
        <w:rPr>
          <w:rFonts w:ascii="Arial" w:cs="Arial" w:eastAsia="Arial" w:hAnsi="Arial"/>
          <w:sz w:val="16"/>
          <w:szCs w:val="16"/>
          <w:color w:val="auto"/>
        </w:rPr>
        <w:t xml:space="preserve">In our opinion, management’s assessment that the Company did not maintain effective internal control over financial reporting as of April 2, 2005, is fairly stated, in all material respects, based on the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Also in our opinion, because of the effect of the material weakness described above on the achievement of the objectives of the control criteria, the Company has not maintained effective internal control over financial reporting as of April 2, 2005, based on the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p>
    <w:p>
      <w:pPr>
        <w:spacing w:after="0" w:line="50" w:lineRule="exact"/>
        <w:rPr>
          <w:sz w:val="20"/>
          <w:szCs w:val="20"/>
          <w:color w:val="auto"/>
        </w:rPr>
      </w:pPr>
    </w:p>
    <w:p>
      <w:pPr>
        <w:ind w:firstLine="267"/>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of the Company as of and for each of the three years in the period ended April 2, 2005, and the related financial statement schedule included in the index at Item 15, and our report dated June 30, 2005 expressed an unqualified opinion on those financial statements and the related financial statement schedule.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30, 2005</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w w:val="96"/>
              </w:rPr>
              <w:t>April 2,</w:t>
            </w:r>
          </w:p>
        </w:tc>
        <w:tc>
          <w:tcPr>
            <w:tcW w:w="300" w:type="dxa"/>
            <w:vAlign w:val="bottom"/>
          </w:tcPr>
          <w:p>
            <w:pPr>
              <w:spacing w:after="0"/>
              <w:rPr>
                <w:sz w:val="14"/>
                <w:szCs w:val="14"/>
                <w:color w:val="auto"/>
              </w:rPr>
            </w:pPr>
          </w:p>
        </w:tc>
        <w:tc>
          <w:tcPr>
            <w:tcW w:w="17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6"/>
              </w:rPr>
              <w:t>April 3,</w:t>
            </w:r>
          </w:p>
        </w:tc>
      </w:tr>
      <w:tr>
        <w:trPr>
          <w:trHeight w:val="171"/>
        </w:trPr>
        <w:tc>
          <w:tcPr>
            <w:tcW w:w="7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2005</w:t>
            </w:r>
          </w:p>
        </w:tc>
        <w:tc>
          <w:tcPr>
            <w:tcW w:w="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6"/>
              </w:rPr>
              <w:t>2004</w:t>
            </w:r>
          </w:p>
        </w:tc>
        <w:tc>
          <w:tcPr>
            <w:tcW w:w="600" w:type="dxa"/>
            <w:vAlign w:val="bottom"/>
          </w:tcPr>
          <w:p>
            <w:pPr>
              <w:spacing w:after="0"/>
              <w:rPr>
                <w:sz w:val="14"/>
                <w:szCs w:val="14"/>
                <w:color w:val="auto"/>
              </w:rPr>
            </w:pPr>
          </w:p>
        </w:tc>
      </w:tr>
      <w:tr>
        <w:trPr>
          <w:trHeight w:val="133"/>
        </w:trPr>
        <w:tc>
          <w:tcPr>
            <w:tcW w:w="7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center"/>
              <w:ind w:right="212"/>
              <w:spacing w:after="0" w:line="133" w:lineRule="exact"/>
              <w:rPr>
                <w:sz w:val="20"/>
                <w:szCs w:val="20"/>
                <w:color w:val="auto"/>
              </w:rPr>
            </w:pPr>
            <w:r>
              <w:rPr>
                <w:rFonts w:ascii="Arial" w:cs="Arial" w:eastAsia="Arial" w:hAnsi="Arial"/>
                <w:sz w:val="14"/>
                <w:szCs w:val="14"/>
                <w:b w:val="1"/>
                <w:bCs w:val="1"/>
                <w:color w:val="auto"/>
                <w:w w:val="91"/>
              </w:rPr>
              <w:t>(As Restated</w:t>
            </w:r>
          </w:p>
        </w:tc>
        <w:tc>
          <w:tcPr>
            <w:tcW w:w="600" w:type="dxa"/>
            <w:vAlign w:val="bottom"/>
          </w:tcPr>
          <w:p>
            <w:pPr>
              <w:spacing w:after="0"/>
              <w:rPr>
                <w:sz w:val="11"/>
                <w:szCs w:val="11"/>
                <w:color w:val="auto"/>
              </w:rPr>
            </w:pPr>
          </w:p>
        </w:tc>
      </w:tr>
      <w:tr>
        <w:trPr>
          <w:trHeight w:val="149"/>
        </w:trPr>
        <w:tc>
          <w:tcPr>
            <w:tcW w:w="7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1"/>
              </w:rPr>
              <w:t>See Note 2)</w:t>
            </w:r>
          </w:p>
        </w:tc>
      </w:tr>
      <w:tr>
        <w:trPr>
          <w:trHeight w:val="149"/>
        </w:trPr>
        <w:tc>
          <w:tcPr>
            <w:tcW w:w="7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740" w:type="dxa"/>
            <w:vAlign w:val="bottom"/>
            <w:gridSpan w:val="5"/>
          </w:tcPr>
          <w:p>
            <w:pPr>
              <w:jc w:val="right"/>
              <w:ind w:right="1680"/>
              <w:spacing w:after="0" w:line="149" w:lineRule="exact"/>
              <w:rPr>
                <w:sz w:val="20"/>
                <w:szCs w:val="20"/>
                <w:color w:val="auto"/>
              </w:rPr>
            </w:pPr>
            <w:r>
              <w:rPr>
                <w:rFonts w:ascii="Arial" w:cs="Arial" w:eastAsia="Arial" w:hAnsi="Arial"/>
                <w:sz w:val="14"/>
                <w:szCs w:val="14"/>
                <w:b w:val="1"/>
                <w:bCs w:val="1"/>
                <w:color w:val="auto"/>
              </w:rPr>
              <w:t>(Dollars in thousands,</w:t>
            </w:r>
          </w:p>
        </w:tc>
      </w:tr>
      <w:tr>
        <w:trPr>
          <w:trHeight w:val="171"/>
        </w:trPr>
        <w:tc>
          <w:tcPr>
            <w:tcW w:w="7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except share data)</w:t>
            </w: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16"/>
        </w:trPr>
        <w:tc>
          <w:tcPr>
            <w:tcW w:w="7120" w:type="dxa"/>
            <w:vAlign w:val="bottom"/>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7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350,485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352,335</w:t>
            </w:r>
          </w:p>
        </w:tc>
        <w:tc>
          <w:tcPr>
            <w:tcW w:w="600" w:type="dxa"/>
            <w:vAlign w:val="bottom"/>
            <w:shd w:val="clear" w:color="auto" w:fill="CCEEFF"/>
          </w:tcPr>
          <w:p>
            <w:pPr>
              <w:spacing w:after="0"/>
              <w:rPr>
                <w:sz w:val="18"/>
                <w:szCs w:val="18"/>
                <w:color w:val="auto"/>
              </w:rPr>
            </w:pPr>
          </w:p>
        </w:tc>
      </w:tr>
      <w:tr>
        <w:trPr>
          <w:trHeight w:val="216"/>
        </w:trPr>
        <w:tc>
          <w:tcPr>
            <w:tcW w:w="7120" w:type="dxa"/>
            <w:vAlign w:val="bottom"/>
          </w:tcPr>
          <w:p>
            <w:pPr>
              <w:ind w:left="300"/>
              <w:spacing w:after="0"/>
              <w:rPr>
                <w:sz w:val="20"/>
                <w:szCs w:val="20"/>
                <w:color w:val="auto"/>
              </w:rPr>
            </w:pPr>
            <w:r>
              <w:rPr>
                <w:rFonts w:ascii="Arial" w:cs="Arial" w:eastAsia="Arial" w:hAnsi="Arial"/>
                <w:sz w:val="18"/>
                <w:szCs w:val="18"/>
                <w:color w:val="auto"/>
              </w:rPr>
              <w:t>Accounts receivable, net of allowances of $111,042 and $97,292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2"/>
          </w:tcPr>
          <w:p>
            <w:pPr>
              <w:jc w:val="right"/>
              <w:ind w:right="820"/>
              <w:spacing w:after="0"/>
              <w:rPr>
                <w:sz w:val="20"/>
                <w:szCs w:val="20"/>
                <w:color w:val="auto"/>
              </w:rPr>
            </w:pPr>
            <w:r>
              <w:rPr>
                <w:rFonts w:ascii="Arial" w:cs="Arial" w:eastAsia="Arial" w:hAnsi="Arial"/>
                <w:sz w:val="18"/>
                <w:szCs w:val="18"/>
                <w:color w:val="auto"/>
              </w:rPr>
              <w:t>455,682</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441,724</w:t>
            </w:r>
          </w:p>
        </w:tc>
        <w:tc>
          <w:tcPr>
            <w:tcW w:w="600" w:type="dxa"/>
            <w:vAlign w:val="bottom"/>
          </w:tcPr>
          <w:p>
            <w:pPr>
              <w:spacing w:after="0"/>
              <w:rPr>
                <w:sz w:val="18"/>
                <w:szCs w:val="18"/>
                <w:color w:val="auto"/>
              </w:rPr>
            </w:pPr>
          </w:p>
        </w:tc>
      </w:tr>
      <w:tr>
        <w:trPr>
          <w:trHeight w:val="216"/>
        </w:trPr>
        <w:tc>
          <w:tcPr>
            <w:tcW w:w="7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430,082</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373,170</w:t>
            </w:r>
          </w:p>
        </w:tc>
        <w:tc>
          <w:tcPr>
            <w:tcW w:w="600" w:type="dxa"/>
            <w:vAlign w:val="bottom"/>
            <w:shd w:val="clear" w:color="auto" w:fill="CCEEFF"/>
          </w:tcPr>
          <w:p>
            <w:pPr>
              <w:spacing w:after="0"/>
              <w:rPr>
                <w:sz w:val="18"/>
                <w:szCs w:val="18"/>
                <w:color w:val="auto"/>
              </w:rPr>
            </w:pPr>
          </w:p>
        </w:tc>
      </w:tr>
      <w:tr>
        <w:trPr>
          <w:trHeight w:val="216"/>
        </w:trPr>
        <w:tc>
          <w:tcPr>
            <w:tcW w:w="7120" w:type="dxa"/>
            <w:vAlign w:val="bottom"/>
          </w:tcPr>
          <w:p>
            <w:pPr>
              <w:ind w:left="300"/>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2"/>
          </w:tcPr>
          <w:p>
            <w:pPr>
              <w:jc w:val="right"/>
              <w:ind w:right="820"/>
              <w:spacing w:after="0"/>
              <w:rPr>
                <w:sz w:val="20"/>
                <w:szCs w:val="20"/>
                <w:color w:val="auto"/>
              </w:rPr>
            </w:pPr>
            <w:r>
              <w:rPr>
                <w:rFonts w:ascii="Arial" w:cs="Arial" w:eastAsia="Arial" w:hAnsi="Arial"/>
                <w:sz w:val="18"/>
                <w:szCs w:val="18"/>
                <w:color w:val="auto"/>
              </w:rPr>
              <w:t>74,821</w:t>
            </w:r>
          </w:p>
        </w:tc>
        <w:tc>
          <w:tcPr>
            <w:tcW w:w="300" w:type="dxa"/>
            <w:vAlign w:val="bottom"/>
          </w:tcPr>
          <w:p>
            <w:pPr>
              <w:spacing w:after="0"/>
              <w:rPr>
                <w:sz w:val="18"/>
                <w:szCs w:val="18"/>
                <w:color w:val="auto"/>
              </w:rPr>
            </w:pPr>
          </w:p>
        </w:tc>
        <w:tc>
          <w:tcPr>
            <w:tcW w:w="1760" w:type="dxa"/>
            <w:vAlign w:val="bottom"/>
            <w:gridSpan w:val="2"/>
          </w:tcPr>
          <w:p>
            <w:pPr>
              <w:jc w:val="right"/>
              <w:ind w:right="600"/>
              <w:spacing w:after="0"/>
              <w:rPr>
                <w:sz w:val="20"/>
                <w:szCs w:val="20"/>
                <w:color w:val="auto"/>
              </w:rPr>
            </w:pPr>
            <w:r>
              <w:rPr>
                <w:rFonts w:ascii="Arial" w:cs="Arial" w:eastAsia="Arial" w:hAnsi="Arial"/>
                <w:sz w:val="18"/>
                <w:szCs w:val="18"/>
                <w:color w:val="auto"/>
              </w:rPr>
              <w:t>21,565</w:t>
            </w:r>
          </w:p>
        </w:tc>
      </w:tr>
      <w:tr>
        <w:trPr>
          <w:trHeight w:val="216"/>
        </w:trPr>
        <w:tc>
          <w:tcPr>
            <w:tcW w:w="7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Prepaid expenses and other</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102,693</w:t>
            </w: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98,357</w:t>
            </w:r>
          </w:p>
        </w:tc>
      </w:tr>
      <w:tr>
        <w:trPr>
          <w:trHeight w:val="223"/>
        </w:trPr>
        <w:tc>
          <w:tcPr>
            <w:tcW w:w="712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1,413,763</w:t>
            </w:r>
          </w:p>
        </w:tc>
        <w:tc>
          <w:tcPr>
            <w:tcW w:w="8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1,287,151</w:t>
            </w:r>
          </w:p>
        </w:tc>
        <w:tc>
          <w:tcPr>
            <w:tcW w:w="600" w:type="dxa"/>
            <w:vAlign w:val="bottom"/>
          </w:tcPr>
          <w:p>
            <w:pPr>
              <w:spacing w:after="0"/>
              <w:rPr>
                <w:sz w:val="19"/>
                <w:szCs w:val="19"/>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487,894</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408,741</w:t>
            </w:r>
          </w:p>
        </w:tc>
        <w:tc>
          <w:tcPr>
            <w:tcW w:w="60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2"/>
          </w:tcPr>
          <w:p>
            <w:pPr>
              <w:jc w:val="right"/>
              <w:ind w:right="820"/>
              <w:spacing w:after="0"/>
              <w:rPr>
                <w:sz w:val="20"/>
                <w:szCs w:val="20"/>
                <w:color w:val="auto"/>
              </w:rPr>
            </w:pPr>
            <w:r>
              <w:rPr>
                <w:rFonts w:ascii="Arial" w:cs="Arial" w:eastAsia="Arial" w:hAnsi="Arial"/>
                <w:sz w:val="18"/>
                <w:szCs w:val="18"/>
                <w:color w:val="auto"/>
              </w:rPr>
              <w:t>35,973</w:t>
            </w:r>
          </w:p>
        </w:tc>
        <w:tc>
          <w:tcPr>
            <w:tcW w:w="300" w:type="dxa"/>
            <w:vAlign w:val="bottom"/>
          </w:tcPr>
          <w:p>
            <w:pPr>
              <w:spacing w:after="0"/>
              <w:rPr>
                <w:sz w:val="18"/>
                <w:szCs w:val="18"/>
                <w:color w:val="auto"/>
              </w:rPr>
            </w:pPr>
          </w:p>
        </w:tc>
        <w:tc>
          <w:tcPr>
            <w:tcW w:w="1760" w:type="dxa"/>
            <w:vAlign w:val="bottom"/>
            <w:gridSpan w:val="2"/>
          </w:tcPr>
          <w:p>
            <w:pPr>
              <w:jc w:val="right"/>
              <w:ind w:right="600"/>
              <w:spacing w:after="0"/>
              <w:rPr>
                <w:sz w:val="20"/>
                <w:szCs w:val="20"/>
                <w:color w:val="auto"/>
              </w:rPr>
            </w:pPr>
            <w:r>
              <w:rPr>
                <w:rFonts w:ascii="Arial" w:cs="Arial" w:eastAsia="Arial" w:hAnsi="Arial"/>
                <w:sz w:val="18"/>
                <w:szCs w:val="18"/>
                <w:color w:val="auto"/>
              </w:rPr>
              <w:t>65,542</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558,858</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341,603</w:t>
            </w:r>
          </w:p>
        </w:tc>
        <w:tc>
          <w:tcPr>
            <w:tcW w:w="60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Intangibles, net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2"/>
          </w:tcPr>
          <w:p>
            <w:pPr>
              <w:jc w:val="right"/>
              <w:ind w:right="820"/>
              <w:spacing w:after="0"/>
              <w:rPr>
                <w:sz w:val="20"/>
                <w:szCs w:val="20"/>
                <w:color w:val="auto"/>
              </w:rPr>
            </w:pPr>
            <w:r>
              <w:rPr>
                <w:rFonts w:ascii="Arial" w:cs="Arial" w:eastAsia="Arial" w:hAnsi="Arial"/>
                <w:sz w:val="18"/>
                <w:szCs w:val="18"/>
                <w:color w:val="auto"/>
              </w:rPr>
              <w:t>46,991</w:t>
            </w:r>
          </w:p>
        </w:tc>
        <w:tc>
          <w:tcPr>
            <w:tcW w:w="300" w:type="dxa"/>
            <w:vAlign w:val="bottom"/>
          </w:tcPr>
          <w:p>
            <w:pPr>
              <w:spacing w:after="0"/>
              <w:rPr>
                <w:sz w:val="18"/>
                <w:szCs w:val="18"/>
                <w:color w:val="auto"/>
              </w:rPr>
            </w:pPr>
          </w:p>
        </w:tc>
        <w:tc>
          <w:tcPr>
            <w:tcW w:w="1760" w:type="dxa"/>
            <w:vAlign w:val="bottom"/>
            <w:gridSpan w:val="2"/>
          </w:tcPr>
          <w:p>
            <w:pPr>
              <w:jc w:val="right"/>
              <w:ind w:right="600"/>
              <w:spacing w:after="0"/>
              <w:rPr>
                <w:sz w:val="20"/>
                <w:szCs w:val="20"/>
                <w:color w:val="auto"/>
              </w:rPr>
            </w:pPr>
            <w:r>
              <w:rPr>
                <w:rFonts w:ascii="Arial" w:cs="Arial" w:eastAsia="Arial" w:hAnsi="Arial"/>
                <w:sz w:val="18"/>
                <w:szCs w:val="18"/>
                <w:color w:val="auto"/>
              </w:rPr>
              <w:t>17,640</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183,190</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176,875</w:t>
            </w:r>
          </w:p>
        </w:tc>
        <w:tc>
          <w:tcPr>
            <w:tcW w:w="600" w:type="dxa"/>
            <w:vAlign w:val="bottom"/>
            <w:shd w:val="clear" w:color="auto" w:fill="CCEEFF"/>
          </w:tcPr>
          <w:p>
            <w:pPr>
              <w:spacing w:after="0"/>
              <w:rPr>
                <w:sz w:val="18"/>
                <w:szCs w:val="18"/>
                <w:color w:val="auto"/>
              </w:rPr>
            </w:pPr>
          </w:p>
        </w:tc>
      </w:tr>
      <w:tr>
        <w:trPr>
          <w:trHeight w:val="223"/>
        </w:trPr>
        <w:tc>
          <w:tcPr>
            <w:tcW w:w="712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2,726,669</w:t>
            </w:r>
          </w:p>
        </w:tc>
        <w:tc>
          <w:tcPr>
            <w:tcW w:w="8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2,297,552</w:t>
            </w:r>
          </w:p>
        </w:tc>
        <w:tc>
          <w:tcPr>
            <w:tcW w:w="600" w:type="dxa"/>
            <w:vAlign w:val="bottom"/>
          </w:tcPr>
          <w:p>
            <w:pPr>
              <w:spacing w:after="0"/>
              <w:rPr>
                <w:sz w:val="19"/>
                <w:szCs w:val="19"/>
                <w:color w:val="auto"/>
              </w:rPr>
            </w:pPr>
          </w:p>
        </w:tc>
      </w:tr>
      <w:tr>
        <w:trPr>
          <w:trHeight w:val="21"/>
        </w:trPr>
        <w:tc>
          <w:tcPr>
            <w:tcW w:w="7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23"/>
        </w:trPr>
        <w:tc>
          <w:tcPr>
            <w:tcW w:w="7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16"/>
        </w:trPr>
        <w:tc>
          <w:tcPr>
            <w:tcW w:w="7680" w:type="dxa"/>
            <w:vAlign w:val="bottom"/>
            <w:gridSpan w:val="3"/>
            <w:shd w:val="clear" w:color="auto" w:fill="CCEEFF"/>
          </w:tcPr>
          <w:p>
            <w:pPr>
              <w:ind w:left="3760"/>
              <w:spacing w:after="0"/>
              <w:rPr>
                <w:sz w:val="20"/>
                <w:szCs w:val="20"/>
                <w:color w:val="auto"/>
              </w:rPr>
            </w:pPr>
            <w:r>
              <w:rPr>
                <w:rFonts w:ascii="Arial" w:cs="Arial" w:eastAsia="Arial" w:hAnsi="Arial"/>
                <w:sz w:val="18"/>
                <w:szCs w:val="18"/>
                <w:b w:val="1"/>
                <w:bCs w:val="1"/>
                <w:color w:val="auto"/>
              </w:rPr>
              <w:t>LIABILITIES AND STOCKHOLDERS’ EQUITY</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7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payable</w:t>
            </w:r>
          </w:p>
        </w:tc>
        <w:tc>
          <w:tcPr>
            <w:tcW w:w="5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184,394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188,919</w:t>
            </w:r>
          </w:p>
        </w:tc>
        <w:tc>
          <w:tcPr>
            <w:tcW w:w="600" w:type="dxa"/>
            <w:vAlign w:val="bottom"/>
            <w:shd w:val="clear" w:color="auto" w:fill="CCEEFF"/>
          </w:tcPr>
          <w:p>
            <w:pPr>
              <w:spacing w:after="0"/>
              <w:rPr>
                <w:sz w:val="18"/>
                <w:szCs w:val="18"/>
                <w:color w:val="auto"/>
              </w:rPr>
            </w:pPr>
          </w:p>
        </w:tc>
      </w:tr>
      <w:tr>
        <w:trPr>
          <w:trHeight w:val="216"/>
        </w:trPr>
        <w:tc>
          <w:tcPr>
            <w:tcW w:w="7120" w:type="dxa"/>
            <w:vAlign w:val="bottom"/>
          </w:tcPr>
          <w:p>
            <w:pPr>
              <w:ind w:left="300"/>
              <w:spacing w:after="0"/>
              <w:rPr>
                <w:sz w:val="20"/>
                <w:szCs w:val="20"/>
                <w:color w:val="auto"/>
              </w:rPr>
            </w:pPr>
            <w:r>
              <w:rPr>
                <w:rFonts w:ascii="Arial" w:cs="Arial" w:eastAsia="Arial" w:hAnsi="Arial"/>
                <w:sz w:val="18"/>
                <w:szCs w:val="18"/>
                <w:color w:val="auto"/>
              </w:rPr>
              <w:t>Income tax payable</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2"/>
          </w:tcPr>
          <w:p>
            <w:pPr>
              <w:jc w:val="right"/>
              <w:ind w:right="820"/>
              <w:spacing w:after="0"/>
              <w:rPr>
                <w:sz w:val="20"/>
                <w:szCs w:val="20"/>
                <w:color w:val="auto"/>
              </w:rPr>
            </w:pPr>
            <w:r>
              <w:rPr>
                <w:rFonts w:ascii="Arial" w:cs="Arial" w:eastAsia="Arial" w:hAnsi="Arial"/>
                <w:sz w:val="18"/>
                <w:szCs w:val="18"/>
                <w:color w:val="auto"/>
              </w:rPr>
              <w:t>72,148</w:t>
            </w:r>
          </w:p>
        </w:tc>
        <w:tc>
          <w:tcPr>
            <w:tcW w:w="300" w:type="dxa"/>
            <w:vAlign w:val="bottom"/>
          </w:tcPr>
          <w:p>
            <w:pPr>
              <w:spacing w:after="0"/>
              <w:rPr>
                <w:sz w:val="18"/>
                <w:szCs w:val="18"/>
                <w:color w:val="auto"/>
              </w:rPr>
            </w:pPr>
          </w:p>
        </w:tc>
        <w:tc>
          <w:tcPr>
            <w:tcW w:w="1760" w:type="dxa"/>
            <w:vAlign w:val="bottom"/>
            <w:gridSpan w:val="2"/>
          </w:tcPr>
          <w:p>
            <w:pPr>
              <w:jc w:val="right"/>
              <w:ind w:right="600"/>
              <w:spacing w:after="0"/>
              <w:rPr>
                <w:sz w:val="20"/>
                <w:szCs w:val="20"/>
                <w:color w:val="auto"/>
              </w:rPr>
            </w:pPr>
            <w:r>
              <w:rPr>
                <w:rFonts w:ascii="Arial" w:cs="Arial" w:eastAsia="Arial" w:hAnsi="Arial"/>
                <w:sz w:val="18"/>
                <w:szCs w:val="18"/>
                <w:color w:val="auto"/>
              </w:rPr>
              <w:t>77,736</w:t>
            </w:r>
          </w:p>
        </w:tc>
      </w:tr>
      <w:tr>
        <w:trPr>
          <w:trHeight w:val="216"/>
        </w:trPr>
        <w:tc>
          <w:tcPr>
            <w:tcW w:w="7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Deferred tax liabilities</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600" w:type="dxa"/>
            <w:vAlign w:val="bottom"/>
            <w:shd w:val="clear" w:color="auto" w:fill="CCEEFF"/>
          </w:tcPr>
          <w:p>
            <w:pPr>
              <w:spacing w:after="0"/>
              <w:rPr>
                <w:sz w:val="18"/>
                <w:szCs w:val="18"/>
                <w:color w:val="auto"/>
              </w:rPr>
            </w:pPr>
          </w:p>
        </w:tc>
      </w:tr>
      <w:tr>
        <w:trPr>
          <w:trHeight w:val="216"/>
        </w:trPr>
        <w:tc>
          <w:tcPr>
            <w:tcW w:w="7120" w:type="dxa"/>
            <w:vAlign w:val="bottom"/>
          </w:tcPr>
          <w:p>
            <w:pPr>
              <w:ind w:left="300"/>
              <w:spacing w:after="0"/>
              <w:rPr>
                <w:sz w:val="20"/>
                <w:szCs w:val="20"/>
                <w:color w:val="auto"/>
              </w:rPr>
            </w:pPr>
            <w:r>
              <w:rPr>
                <w:rFonts w:ascii="Arial" w:cs="Arial" w:eastAsia="Arial" w:hAnsi="Arial"/>
                <w:sz w:val="18"/>
                <w:szCs w:val="18"/>
                <w:color w:val="auto"/>
              </w:rPr>
              <w:t>Accrued expenses and other</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2"/>
          </w:tcPr>
          <w:p>
            <w:pPr>
              <w:jc w:val="right"/>
              <w:ind w:right="820"/>
              <w:spacing w:after="0"/>
              <w:rPr>
                <w:sz w:val="20"/>
                <w:szCs w:val="20"/>
                <w:color w:val="auto"/>
              </w:rPr>
            </w:pPr>
            <w:r>
              <w:rPr>
                <w:rFonts w:ascii="Arial" w:cs="Arial" w:eastAsia="Arial" w:hAnsi="Arial"/>
                <w:sz w:val="18"/>
                <w:szCs w:val="18"/>
                <w:color w:val="auto"/>
              </w:rPr>
              <w:t>365,868</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236,724</w:t>
            </w:r>
          </w:p>
        </w:tc>
        <w:tc>
          <w:tcPr>
            <w:tcW w:w="600" w:type="dxa"/>
            <w:vAlign w:val="bottom"/>
          </w:tcPr>
          <w:p>
            <w:pPr>
              <w:spacing w:after="0"/>
              <w:rPr>
                <w:sz w:val="18"/>
                <w:szCs w:val="18"/>
                <w:color w:val="auto"/>
              </w:rPr>
            </w:pPr>
          </w:p>
        </w:tc>
      </w:tr>
      <w:tr>
        <w:trPr>
          <w:trHeight w:val="27"/>
        </w:trPr>
        <w:tc>
          <w:tcPr>
            <w:tcW w:w="7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r>
      <w:tr>
        <w:trPr>
          <w:trHeight w:val="216"/>
        </w:trPr>
        <w:tc>
          <w:tcPr>
            <w:tcW w:w="7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622,410</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505,200</w:t>
            </w:r>
          </w:p>
        </w:tc>
        <w:tc>
          <w:tcPr>
            <w:tcW w:w="60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2"/>
          </w:tcPr>
          <w:p>
            <w:pPr>
              <w:jc w:val="right"/>
              <w:ind w:right="820"/>
              <w:spacing w:after="0"/>
              <w:rPr>
                <w:sz w:val="20"/>
                <w:szCs w:val="20"/>
                <w:color w:val="auto"/>
              </w:rPr>
            </w:pPr>
            <w:r>
              <w:rPr>
                <w:rFonts w:ascii="Arial" w:cs="Arial" w:eastAsia="Arial" w:hAnsi="Arial"/>
                <w:sz w:val="18"/>
                <w:szCs w:val="18"/>
                <w:color w:val="auto"/>
              </w:rPr>
              <w:t>290,960</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277,345</w:t>
            </w:r>
          </w:p>
        </w:tc>
        <w:tc>
          <w:tcPr>
            <w:tcW w:w="60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137,591</w:t>
            </w: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99,560</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Commitments and contingencies (Note 14)</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7120" w:type="dxa"/>
            <w:vAlign w:val="bottom"/>
          </w:tcPr>
          <w:p>
            <w:pPr>
              <w:ind w:left="30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02"/>
        </w:trPr>
        <w:tc>
          <w:tcPr>
            <w:tcW w:w="712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Class A, par value $0.01 per share; 500,000,000 shares authorized; 64,016,034 and</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30"/>
        </w:trPr>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61,498,183 shares issued and outstanding</w:t>
            </w: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652</w:t>
            </w:r>
          </w:p>
        </w:tc>
        <w:tc>
          <w:tcPr>
            <w:tcW w:w="30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620</w:t>
            </w:r>
          </w:p>
        </w:tc>
      </w:tr>
      <w:tr>
        <w:trPr>
          <w:trHeight w:val="202"/>
        </w:trPr>
        <w:tc>
          <w:tcPr>
            <w:tcW w:w="7120" w:type="dxa"/>
            <w:vAlign w:val="bottom"/>
          </w:tcPr>
          <w:p>
            <w:pPr>
              <w:ind w:left="300"/>
              <w:spacing w:after="0" w:line="201" w:lineRule="exact"/>
              <w:rPr>
                <w:sz w:val="20"/>
                <w:szCs w:val="20"/>
                <w:color w:val="auto"/>
              </w:rPr>
            </w:pPr>
            <w:r>
              <w:rPr>
                <w:rFonts w:ascii="Arial" w:cs="Arial" w:eastAsia="Arial" w:hAnsi="Arial"/>
                <w:sz w:val="18"/>
                <w:szCs w:val="18"/>
                <w:color w:val="auto"/>
                <w:w w:val="90"/>
              </w:rPr>
              <w:t>Class B, par value $0.01 per share; 100,000,000 shares authorized; 43,280,021 shares issued</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30"/>
        </w:trPr>
        <w:tc>
          <w:tcPr>
            <w:tcW w:w="7120" w:type="dxa"/>
            <w:vAlign w:val="bottom"/>
          </w:tcPr>
          <w:p>
            <w:pPr>
              <w:ind w:left="420"/>
              <w:spacing w:after="0"/>
              <w:rPr>
                <w:sz w:val="20"/>
                <w:szCs w:val="20"/>
                <w:color w:val="auto"/>
              </w:rPr>
            </w:pPr>
            <w:r>
              <w:rPr>
                <w:rFonts w:ascii="Arial" w:cs="Arial" w:eastAsia="Arial" w:hAnsi="Arial"/>
                <w:sz w:val="18"/>
                <w:szCs w:val="18"/>
                <w:color w:val="auto"/>
              </w:rPr>
              <w:t>and outstanding</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gridSpan w:val="2"/>
          </w:tcPr>
          <w:p>
            <w:pPr>
              <w:jc w:val="right"/>
              <w:ind w:right="820"/>
              <w:spacing w:after="0"/>
              <w:rPr>
                <w:sz w:val="20"/>
                <w:szCs w:val="20"/>
                <w:color w:val="auto"/>
              </w:rPr>
            </w:pPr>
            <w:r>
              <w:rPr>
                <w:rFonts w:ascii="Arial" w:cs="Arial" w:eastAsia="Arial" w:hAnsi="Arial"/>
                <w:sz w:val="18"/>
                <w:szCs w:val="18"/>
                <w:color w:val="auto"/>
              </w:rPr>
              <w:t>433</w:t>
            </w:r>
          </w:p>
        </w:tc>
        <w:tc>
          <w:tcPr>
            <w:tcW w:w="300" w:type="dxa"/>
            <w:vAlign w:val="bottom"/>
          </w:tcPr>
          <w:p>
            <w:pPr>
              <w:spacing w:after="0"/>
              <w:rPr>
                <w:sz w:val="20"/>
                <w:szCs w:val="20"/>
                <w:color w:val="auto"/>
              </w:rPr>
            </w:pPr>
          </w:p>
        </w:tc>
        <w:tc>
          <w:tcPr>
            <w:tcW w:w="1760" w:type="dxa"/>
            <w:vAlign w:val="bottom"/>
            <w:gridSpan w:val="2"/>
          </w:tcPr>
          <w:p>
            <w:pPr>
              <w:jc w:val="right"/>
              <w:ind w:right="600"/>
              <w:spacing w:after="0"/>
              <w:rPr>
                <w:sz w:val="20"/>
                <w:szCs w:val="20"/>
                <w:color w:val="auto"/>
              </w:rPr>
            </w:pPr>
            <w:r>
              <w:rPr>
                <w:rFonts w:ascii="Arial" w:cs="Arial" w:eastAsia="Arial" w:hAnsi="Arial"/>
                <w:sz w:val="18"/>
                <w:szCs w:val="18"/>
                <w:color w:val="auto"/>
              </w:rPr>
              <w:t>433</w:t>
            </w:r>
          </w:p>
        </w:tc>
      </w:tr>
      <w:tr>
        <w:trPr>
          <w:trHeight w:val="216"/>
        </w:trPr>
        <w:tc>
          <w:tcPr>
            <w:tcW w:w="7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Additional paid-in-capital</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664,279</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563,457</w:t>
            </w:r>
          </w:p>
        </w:tc>
        <w:tc>
          <w:tcPr>
            <w:tcW w:w="600" w:type="dxa"/>
            <w:vAlign w:val="bottom"/>
            <w:shd w:val="clear" w:color="auto" w:fill="CCEEFF"/>
          </w:tcPr>
          <w:p>
            <w:pPr>
              <w:spacing w:after="0"/>
              <w:rPr>
                <w:sz w:val="18"/>
                <w:szCs w:val="18"/>
                <w:color w:val="auto"/>
              </w:rPr>
            </w:pPr>
          </w:p>
        </w:tc>
      </w:tr>
      <w:tr>
        <w:trPr>
          <w:trHeight w:val="216"/>
        </w:trPr>
        <w:tc>
          <w:tcPr>
            <w:tcW w:w="7120" w:type="dxa"/>
            <w:vAlign w:val="bottom"/>
          </w:tcPr>
          <w:p>
            <w:pPr>
              <w:ind w:left="30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2"/>
          </w:tcPr>
          <w:p>
            <w:pPr>
              <w:jc w:val="right"/>
              <w:ind w:right="820"/>
              <w:spacing w:after="0"/>
              <w:rPr>
                <w:sz w:val="20"/>
                <w:szCs w:val="20"/>
                <w:color w:val="auto"/>
              </w:rPr>
            </w:pPr>
            <w:r>
              <w:rPr>
                <w:rFonts w:ascii="Arial" w:cs="Arial" w:eastAsia="Arial" w:hAnsi="Arial"/>
                <w:sz w:val="18"/>
                <w:szCs w:val="18"/>
                <w:color w:val="auto"/>
              </w:rPr>
              <w:t>1,090,310</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921,602</w:t>
            </w:r>
          </w:p>
        </w:tc>
        <w:tc>
          <w:tcPr>
            <w:tcW w:w="600" w:type="dxa"/>
            <w:vAlign w:val="bottom"/>
          </w:tcPr>
          <w:p>
            <w:pPr>
              <w:spacing w:after="0"/>
              <w:rPr>
                <w:sz w:val="18"/>
                <w:szCs w:val="18"/>
                <w:color w:val="auto"/>
              </w:rPr>
            </w:pPr>
          </w:p>
        </w:tc>
      </w:tr>
      <w:tr>
        <w:trPr>
          <w:trHeight w:val="216"/>
        </w:trPr>
        <w:tc>
          <w:tcPr>
            <w:tcW w:w="7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Treasury Stock, Class A, at cost (4,177,600 and 4,145,800 shares)</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(80,027)</w:t>
            </w: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(78,975)</w:t>
            </w:r>
          </w:p>
        </w:tc>
      </w:tr>
      <w:tr>
        <w:trPr>
          <w:trHeight w:val="216"/>
        </w:trPr>
        <w:tc>
          <w:tcPr>
            <w:tcW w:w="7120" w:type="dxa"/>
            <w:vAlign w:val="bottom"/>
          </w:tcPr>
          <w:p>
            <w:pPr>
              <w:ind w:left="30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2"/>
          </w:tcPr>
          <w:p>
            <w:pPr>
              <w:jc w:val="right"/>
              <w:ind w:right="820"/>
              <w:spacing w:after="0"/>
              <w:rPr>
                <w:sz w:val="20"/>
                <w:szCs w:val="20"/>
                <w:color w:val="auto"/>
              </w:rPr>
            </w:pPr>
            <w:r>
              <w:rPr>
                <w:rFonts w:ascii="Arial" w:cs="Arial" w:eastAsia="Arial" w:hAnsi="Arial"/>
                <w:sz w:val="18"/>
                <w:szCs w:val="18"/>
                <w:color w:val="auto"/>
              </w:rPr>
              <w:t>29,973</w:t>
            </w:r>
          </w:p>
        </w:tc>
        <w:tc>
          <w:tcPr>
            <w:tcW w:w="300" w:type="dxa"/>
            <w:vAlign w:val="bottom"/>
          </w:tcPr>
          <w:p>
            <w:pPr>
              <w:spacing w:after="0"/>
              <w:rPr>
                <w:sz w:val="18"/>
                <w:szCs w:val="18"/>
                <w:color w:val="auto"/>
              </w:rPr>
            </w:pPr>
          </w:p>
        </w:tc>
        <w:tc>
          <w:tcPr>
            <w:tcW w:w="1760" w:type="dxa"/>
            <w:vAlign w:val="bottom"/>
            <w:gridSpan w:val="2"/>
          </w:tcPr>
          <w:p>
            <w:pPr>
              <w:jc w:val="right"/>
              <w:ind w:right="600"/>
              <w:spacing w:after="0"/>
              <w:rPr>
                <w:sz w:val="20"/>
                <w:szCs w:val="20"/>
                <w:color w:val="auto"/>
              </w:rPr>
            </w:pPr>
            <w:r>
              <w:rPr>
                <w:rFonts w:ascii="Arial" w:cs="Arial" w:eastAsia="Arial" w:hAnsi="Arial"/>
                <w:sz w:val="18"/>
                <w:szCs w:val="18"/>
                <w:color w:val="auto"/>
              </w:rPr>
              <w:t>23,104</w:t>
            </w:r>
          </w:p>
        </w:tc>
      </w:tr>
      <w:tr>
        <w:trPr>
          <w:trHeight w:val="216"/>
        </w:trPr>
        <w:tc>
          <w:tcPr>
            <w:tcW w:w="7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Unearned compensation</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(29,912)</w:t>
            </w: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(14,794)</w:t>
            </w:r>
          </w:p>
        </w:tc>
      </w:tr>
      <w:tr>
        <w:trPr>
          <w:trHeight w:val="230"/>
        </w:trPr>
        <w:tc>
          <w:tcPr>
            <w:tcW w:w="7120" w:type="dxa"/>
            <w:vAlign w:val="bottom"/>
          </w:tcPr>
          <w:p>
            <w:pPr>
              <w:ind w:left="600"/>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1,675,708</w:t>
            </w:r>
          </w:p>
        </w:tc>
        <w:tc>
          <w:tcPr>
            <w:tcW w:w="8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1,415,447</w:t>
            </w:r>
          </w:p>
        </w:tc>
        <w:tc>
          <w:tcPr>
            <w:tcW w:w="600" w:type="dxa"/>
            <w:vAlign w:val="bottom"/>
          </w:tcPr>
          <w:p>
            <w:pPr>
              <w:spacing w:after="0"/>
              <w:rPr>
                <w:sz w:val="20"/>
                <w:szCs w:val="20"/>
                <w:color w:val="auto"/>
              </w:rPr>
            </w:pPr>
          </w:p>
        </w:tc>
      </w:tr>
      <w:tr>
        <w:trPr>
          <w:trHeight w:val="216"/>
        </w:trPr>
        <w:tc>
          <w:tcPr>
            <w:tcW w:w="7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5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2,726,669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2,297,552</w:t>
            </w:r>
          </w:p>
        </w:tc>
        <w:tc>
          <w:tcPr>
            <w:tcW w:w="600" w:type="dxa"/>
            <w:vAlign w:val="bottom"/>
            <w:shd w:val="clear" w:color="auto" w:fill="CCEEFF"/>
          </w:tcPr>
          <w:p>
            <w:pPr>
              <w:spacing w:after="0"/>
              <w:rPr>
                <w:sz w:val="18"/>
                <w:szCs w:val="18"/>
                <w:color w:val="auto"/>
              </w:rPr>
            </w:pPr>
          </w:p>
        </w:tc>
      </w:tr>
      <w:tr>
        <w:trPr>
          <w:trHeight w:val="21"/>
        </w:trPr>
        <w:tc>
          <w:tcPr>
            <w:tcW w:w="7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2"/>
          </w:tcPr>
          <w:p>
            <w:pPr>
              <w:jc w:val="right"/>
              <w:ind w:right="820"/>
              <w:spacing w:after="0"/>
              <w:rPr>
                <w:sz w:val="20"/>
                <w:szCs w:val="20"/>
                <w:color w:val="auto"/>
              </w:rPr>
            </w:pPr>
            <w:r>
              <w:rPr>
                <w:rFonts w:ascii="Arial" w:cs="Arial" w:eastAsia="Arial" w:hAnsi="Arial"/>
                <w:sz w:val="14"/>
                <w:szCs w:val="14"/>
                <w:b w:val="1"/>
                <w:bCs w:val="1"/>
                <w:color w:val="auto"/>
                <w:w w:val="97"/>
              </w:rPr>
              <w:t>Fiscal Year Ended</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right"/>
              <w:ind w:right="500"/>
              <w:spacing w:after="0" w:line="133" w:lineRule="exact"/>
              <w:rPr>
                <w:sz w:val="20"/>
                <w:szCs w:val="20"/>
                <w:color w:val="auto"/>
              </w:rPr>
            </w:pPr>
            <w:r>
              <w:rPr>
                <w:rFonts w:ascii="Arial" w:cs="Arial" w:eastAsia="Arial" w:hAnsi="Arial"/>
                <w:sz w:val="14"/>
                <w:szCs w:val="14"/>
                <w:b w:val="1"/>
                <w:bCs w:val="1"/>
                <w:color w:val="auto"/>
              </w:rPr>
              <w:t>April 2,</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20" w:type="dxa"/>
            <w:vAlign w:val="bottom"/>
            <w:gridSpan w:val="2"/>
          </w:tcPr>
          <w:p>
            <w:pPr>
              <w:jc w:val="center"/>
              <w:ind w:right="980"/>
              <w:spacing w:after="0" w:line="133" w:lineRule="exact"/>
              <w:rPr>
                <w:sz w:val="20"/>
                <w:szCs w:val="20"/>
                <w:color w:val="auto"/>
              </w:rPr>
            </w:pPr>
            <w:r>
              <w:rPr>
                <w:rFonts w:ascii="Arial" w:cs="Arial" w:eastAsia="Arial" w:hAnsi="Arial"/>
                <w:sz w:val="14"/>
                <w:szCs w:val="14"/>
                <w:b w:val="1"/>
                <w:bCs w:val="1"/>
                <w:color w:val="auto"/>
              </w:rPr>
              <w:t>April 3,</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jc w:val="center"/>
              <w:ind w:right="113"/>
              <w:spacing w:after="0" w:line="133" w:lineRule="exact"/>
              <w:rPr>
                <w:sz w:val="20"/>
                <w:szCs w:val="20"/>
                <w:color w:val="auto"/>
              </w:rPr>
            </w:pPr>
            <w:r>
              <w:rPr>
                <w:rFonts w:ascii="Arial" w:cs="Arial" w:eastAsia="Arial" w:hAnsi="Arial"/>
                <w:sz w:val="14"/>
                <w:szCs w:val="14"/>
                <w:b w:val="1"/>
                <w:bCs w:val="1"/>
                <w:color w:val="auto"/>
                <w:w w:val="95"/>
              </w:rPr>
              <w:t>March 29,</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2004</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2003</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center"/>
              <w:ind w:right="53"/>
              <w:spacing w:after="0" w:line="133" w:lineRule="exact"/>
              <w:rPr>
                <w:sz w:val="20"/>
                <w:szCs w:val="20"/>
                <w:color w:val="auto"/>
              </w:rPr>
            </w:pPr>
            <w:r>
              <w:rPr>
                <w:rFonts w:ascii="Arial" w:cs="Arial" w:eastAsia="Arial" w:hAnsi="Arial"/>
                <w:sz w:val="14"/>
                <w:szCs w:val="14"/>
                <w:b w:val="1"/>
                <w:bCs w:val="1"/>
                <w:color w:val="auto"/>
                <w:w w:val="91"/>
              </w:rPr>
              <w:t>(As Restated</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jc w:val="center"/>
              <w:ind w:right="113"/>
              <w:spacing w:after="0" w:line="133" w:lineRule="exact"/>
              <w:rPr>
                <w:sz w:val="20"/>
                <w:szCs w:val="20"/>
                <w:color w:val="auto"/>
              </w:rPr>
            </w:pPr>
            <w:r>
              <w:rPr>
                <w:rFonts w:ascii="Arial" w:cs="Arial" w:eastAsia="Arial" w:hAnsi="Arial"/>
                <w:sz w:val="14"/>
                <w:szCs w:val="14"/>
                <w:b w:val="1"/>
                <w:bCs w:val="1"/>
                <w:color w:val="auto"/>
                <w:w w:val="91"/>
              </w:rPr>
              <w:t>(As Restated</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9"/>
              </w:rPr>
              <w:t>See Note 2)</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See Note 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(Dollars in thousands, except per share data)</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3,060,685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2,380,844</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2,189,321</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Licensing revenue</w:t>
            </w: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244,730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268,810</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250,019</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3,305,415</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2,649,654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2,439,340</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Cost of goods sold</w:t>
            </w: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1,620,869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1,326,335</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1,231,739</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1,684,546</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1,323,319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1,207,601</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1,382,520</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tcPr>
          <w:p>
            <w:pPr>
              <w:jc w:val="right"/>
              <w:ind w:right="820"/>
              <w:spacing w:after="0"/>
              <w:rPr>
                <w:sz w:val="20"/>
                <w:szCs w:val="20"/>
                <w:color w:val="auto"/>
              </w:rPr>
            </w:pPr>
            <w:r>
              <w:rPr>
                <w:rFonts w:ascii="Arial" w:cs="Arial" w:eastAsia="Arial" w:hAnsi="Arial"/>
                <w:sz w:val="18"/>
                <w:szCs w:val="18"/>
                <w:color w:val="auto"/>
              </w:rPr>
              <w:t>1,032,862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902,303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2,341</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19,566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14,443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Total expenses</w:t>
            </w:r>
          </w:p>
        </w:tc>
        <w:tc>
          <w:tcPr>
            <w:tcW w:w="3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1,384,861</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1,052,428</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916,746</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from operations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299,685</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270,891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290,855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Foreign currency (gains) losses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(6,072)</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tcPr>
          <w:p>
            <w:pPr>
              <w:jc w:val="right"/>
              <w:ind w:right="820"/>
              <w:spacing w:after="0"/>
              <w:rPr>
                <w:sz w:val="20"/>
                <w:szCs w:val="20"/>
                <w:color w:val="auto"/>
              </w:rPr>
            </w:pPr>
            <w:r>
              <w:rPr>
                <w:rFonts w:ascii="Arial" w:cs="Arial" w:eastAsia="Arial" w:hAnsi="Arial"/>
                <w:sz w:val="18"/>
                <w:szCs w:val="18"/>
                <w:color w:val="auto"/>
              </w:rPr>
              <w:t>1,864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10,964</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12,693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19,075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(4,573)</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gridSpan w:val="2"/>
          </w:tcPr>
          <w:p>
            <w:pPr>
              <w:jc w:val="right"/>
              <w:ind w:right="760"/>
              <w:spacing w:after="0"/>
              <w:rPr>
                <w:sz w:val="20"/>
                <w:szCs w:val="20"/>
                <w:color w:val="auto"/>
              </w:rPr>
            </w:pPr>
            <w:r>
              <w:rPr>
                <w:rFonts w:ascii="Arial" w:cs="Arial" w:eastAsia="Arial" w:hAnsi="Arial"/>
                <w:sz w:val="18"/>
                <w:szCs w:val="18"/>
                <w:color w:val="auto"/>
              </w:rPr>
              <w:t>(2,693)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8"/>
                <w:szCs w:val="18"/>
                <w:color w:val="auto"/>
              </w:rPr>
              <w:t>(5,573)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w w:val="97"/>
              </w:rPr>
              <w:t>Income before provision for income taxes and other expense</w:t>
            </w:r>
          </w:p>
        </w:tc>
        <w:tc>
          <w:tcPr>
            <w:tcW w:w="3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net</w:t>
            </w: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299,366</w:t>
            </w: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259,027</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276,824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107,336</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tcPr>
          <w:p>
            <w:pPr>
              <w:jc w:val="right"/>
              <w:ind w:right="820"/>
              <w:spacing w:after="0"/>
              <w:rPr>
                <w:sz w:val="20"/>
                <w:szCs w:val="20"/>
                <w:color w:val="auto"/>
              </w:rPr>
            </w:pPr>
            <w:r>
              <w:rPr>
                <w:rFonts w:ascii="Arial" w:cs="Arial" w:eastAsia="Arial" w:hAnsi="Arial"/>
                <w:sz w:val="18"/>
                <w:szCs w:val="18"/>
                <w:color w:val="auto"/>
              </w:rPr>
              <w:t>93,875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101,141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1,605</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(4,077)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190,425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169,229</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175,683</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3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 — Diluted</w:t>
            </w:r>
          </w:p>
        </w:tc>
        <w:tc>
          <w:tcPr>
            <w:tcW w:w="6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98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 Basic</w:t>
            </w:r>
          </w:p>
        </w:tc>
        <w:tc>
          <w:tcPr>
            <w:tcW w:w="3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101,519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98,977</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98,331</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Weighted-average common shares outstanding — Diluted</w:t>
            </w: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98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104,010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100,960</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99,263</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0.20</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4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auto"/>
              </w:rPr>
              <w:t>Common Stock</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40" w:type="dxa"/>
            <w:vAlign w:val="bottom"/>
            <w:gridSpan w:val="5"/>
          </w:tcPr>
          <w:p>
            <w:pPr>
              <w:jc w:val="right"/>
              <w:ind w:right="520"/>
              <w:spacing w:after="0" w:line="135" w:lineRule="exact"/>
              <w:rPr>
                <w:sz w:val="20"/>
                <w:szCs w:val="20"/>
                <w:color w:val="auto"/>
              </w:rPr>
            </w:pPr>
            <w:r>
              <w:rPr>
                <w:rFonts w:ascii="Arial" w:cs="Arial" w:eastAsia="Arial" w:hAnsi="Arial"/>
                <w:sz w:val="13"/>
                <w:szCs w:val="13"/>
                <w:b w:val="1"/>
                <w:bCs w:val="1"/>
                <w:color w:val="auto"/>
              </w:rPr>
              <w:t>Treasury Stock at Cost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340"/>
              <w:spacing w:after="0" w:line="117" w:lineRule="exact"/>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277"/>
              <w:spacing w:after="0" w:line="117" w:lineRule="exact"/>
              <w:rPr>
                <w:sz w:val="20"/>
                <w:szCs w:val="20"/>
                <w:color w:val="auto"/>
              </w:rPr>
            </w:pPr>
            <w:r>
              <w:rPr>
                <w:rFonts w:ascii="Arial" w:cs="Arial" w:eastAsia="Arial" w:hAnsi="Arial"/>
                <w:sz w:val="13"/>
                <w:szCs w:val="13"/>
                <w:b w:val="1"/>
                <w:bCs w:val="1"/>
                <w:color w:val="auto"/>
                <w:w w:val="87"/>
              </w:rPr>
              <w:t>Retained</w:t>
            </w:r>
          </w:p>
        </w:tc>
        <w:tc>
          <w:tcPr>
            <w:tcW w:w="8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240"/>
              <w:spacing w:after="0" w:line="117" w:lineRule="exact"/>
              <w:rPr>
                <w:sz w:val="20"/>
                <w:szCs w:val="20"/>
                <w:color w:val="auto"/>
              </w:rPr>
            </w:pPr>
            <w:r>
              <w:rPr>
                <w:rFonts w:ascii="Arial" w:cs="Arial" w:eastAsia="Arial" w:hAnsi="Arial"/>
                <w:sz w:val="13"/>
                <w:szCs w:val="13"/>
                <w:b w:val="1"/>
                <w:bCs w:val="1"/>
                <w:color w:val="auto"/>
                <w:w w:val="87"/>
              </w:rPr>
              <w:t>Income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right"/>
              <w:ind w:right="400"/>
              <w:spacing w:after="0" w:line="117" w:lineRule="exact"/>
              <w:rPr>
                <w:sz w:val="20"/>
                <w:szCs w:val="20"/>
                <w:color w:val="auto"/>
              </w:rPr>
            </w:pPr>
            <w:r>
              <w:rPr>
                <w:rFonts w:ascii="Arial" w:cs="Arial" w:eastAsia="Arial" w:hAnsi="Arial"/>
                <w:sz w:val="13"/>
                <w:szCs w:val="13"/>
                <w:b w:val="1"/>
                <w:bCs w:val="1"/>
                <w:color w:val="auto"/>
              </w:rPr>
              <w:t>Unearned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89"/>
              </w:rPr>
              <w:t>Earnings</w:t>
            </w:r>
          </w:p>
        </w:tc>
        <w:tc>
          <w:tcPr>
            <w:tcW w:w="220" w:type="dxa"/>
            <w:vAlign w:val="bottom"/>
          </w:tcPr>
          <w:p>
            <w:pPr>
              <w:spacing w:after="0"/>
              <w:rPr>
                <w:sz w:val="13"/>
                <w:szCs w:val="13"/>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Shares</w:t>
            </w:r>
          </w:p>
        </w:tc>
        <w:tc>
          <w:tcPr>
            <w:tcW w:w="5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81"/>
              </w:rPr>
              <w:t>(Loss)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6"/>
              </w:rPr>
              <w:t>Compensation</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60" w:type="dxa"/>
            <w:vAlign w:val="bottom"/>
            <w:gridSpan w:val="6"/>
          </w:tcPr>
          <w:p>
            <w:pPr>
              <w:jc w:val="right"/>
              <w:ind w:right="160"/>
              <w:spacing w:after="0" w:line="143" w:lineRule="exact"/>
              <w:rPr>
                <w:sz w:val="20"/>
                <w:szCs w:val="20"/>
                <w:color w:val="auto"/>
              </w:rPr>
            </w:pPr>
            <w:r>
              <w:rPr>
                <w:rFonts w:ascii="Arial" w:cs="Arial" w:eastAsia="Arial" w:hAnsi="Arial"/>
                <w:sz w:val="13"/>
                <w:szCs w:val="13"/>
                <w:b w:val="1"/>
                <w:bCs w:val="1"/>
                <w:color w:val="auto"/>
                <w:w w:val="85"/>
              </w:rPr>
              <w:t>(Dollars in thousands, except share data)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8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 at March 30, 2002</w:t>
            </w: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(as previously reported)</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102,104,439</w:t>
            </w:r>
          </w:p>
        </w:tc>
        <w:tc>
          <w:tcPr>
            <w:tcW w:w="180" w:type="dxa"/>
            <w:vAlign w:val="bottom"/>
            <w:shd w:val="clear" w:color="auto" w:fill="CCEEFF"/>
          </w:tcPr>
          <w:p>
            <w:pPr>
              <w:jc w:val="right"/>
              <w:ind w:right="67"/>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6"/>
              </w:rPr>
              <w:t>1,021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490,337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57"/>
              <w:spacing w:after="0"/>
              <w:rPr>
                <w:sz w:val="20"/>
                <w:szCs w:val="20"/>
                <w:color w:val="auto"/>
              </w:rPr>
            </w:pPr>
            <w:r>
              <w:rPr>
                <w:rFonts w:ascii="Arial" w:cs="Arial" w:eastAsia="Arial" w:hAnsi="Arial"/>
                <w:sz w:val="14"/>
                <w:szCs w:val="14"/>
                <w:color w:val="auto"/>
              </w:rPr>
              <w:t>602,124</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3,876,506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(73,246)</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(19,799)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(2,242)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998,195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80" w:type="dxa"/>
            <w:vAlign w:val="bottom"/>
          </w:tcPr>
          <w:p>
            <w:pPr>
              <w:spacing w:after="0" w:line="149" w:lineRule="exact"/>
              <w:rPr>
                <w:sz w:val="20"/>
                <w:szCs w:val="20"/>
                <w:color w:val="auto"/>
              </w:rPr>
            </w:pPr>
            <w:r>
              <w:rPr>
                <w:rFonts w:ascii="Arial" w:cs="Arial" w:eastAsia="Arial" w:hAnsi="Arial"/>
                <w:sz w:val="14"/>
                <w:szCs w:val="14"/>
                <w:color w:val="auto"/>
              </w:rPr>
              <w:t>Prior period adjustments</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97"/>
              <w:spacing w:after="0" w:line="149" w:lineRule="exact"/>
              <w:rPr>
                <w:sz w:val="20"/>
                <w:szCs w:val="20"/>
                <w:color w:val="auto"/>
              </w:rPr>
            </w:pPr>
            <w:r>
              <w:rPr>
                <w:rFonts w:ascii="Arial" w:cs="Arial" w:eastAsia="Arial" w:hAnsi="Arial"/>
                <w:sz w:val="14"/>
                <w:szCs w:val="14"/>
                <w:color w:val="auto"/>
              </w:rPr>
              <w:t>(5,507)</w:t>
            </w:r>
          </w:p>
        </w:tc>
        <w:tc>
          <w:tcPr>
            <w:tcW w:w="13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343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(5,164)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8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 at March 30, 2002</w:t>
            </w:r>
          </w:p>
        </w:tc>
        <w:tc>
          <w:tcPr>
            <w:tcW w:w="82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(as restated, see Note 2)</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102,104,439</w:t>
            </w:r>
          </w:p>
        </w:tc>
        <w:tc>
          <w:tcPr>
            <w:tcW w:w="180" w:type="dxa"/>
            <w:vAlign w:val="bottom"/>
            <w:shd w:val="clear" w:color="auto" w:fill="CCEEFF"/>
          </w:tcPr>
          <w:p>
            <w:pPr>
              <w:jc w:val="right"/>
              <w:ind w:right="67"/>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6"/>
              </w:rPr>
              <w:t>1,021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490,337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57"/>
              <w:spacing w:after="0"/>
              <w:rPr>
                <w:sz w:val="20"/>
                <w:szCs w:val="20"/>
                <w:color w:val="auto"/>
              </w:rPr>
            </w:pPr>
            <w:r>
              <w:rPr>
                <w:rFonts w:ascii="Arial" w:cs="Arial" w:eastAsia="Arial" w:hAnsi="Arial"/>
                <w:sz w:val="14"/>
                <w:szCs w:val="14"/>
                <w:color w:val="auto"/>
              </w:rPr>
              <w:t>596,617</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3,876,506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(73,246)</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(19,456)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(2,242)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993,031</w:t>
            </w:r>
          </w:p>
        </w:tc>
        <w:tc>
          <w:tcPr>
            <w:tcW w:w="0" w:type="dxa"/>
            <w:vAlign w:val="bottom"/>
          </w:tcPr>
          <w:p>
            <w:pPr>
              <w:spacing w:after="0"/>
              <w:rPr>
                <w:sz w:val="1"/>
                <w:szCs w:val="1"/>
                <w:color w:val="auto"/>
              </w:rPr>
            </w:pPr>
          </w:p>
        </w:tc>
      </w:tr>
      <w:tr>
        <w:trPr>
          <w:trHeight w:val="21"/>
        </w:trPr>
        <w:tc>
          <w:tcPr>
            <w:tcW w:w="1900" w:type="dxa"/>
            <w:vAlign w:val="bottom"/>
            <w:gridSpan w:val="2"/>
            <w:vMerge w:val="restart"/>
          </w:tcPr>
          <w:p>
            <w:pPr>
              <w:spacing w:after="0"/>
              <w:rPr>
                <w:sz w:val="20"/>
                <w:szCs w:val="20"/>
                <w:color w:val="auto"/>
              </w:rPr>
            </w:pPr>
            <w:r>
              <w:rPr>
                <w:rFonts w:ascii="Arial" w:cs="Arial" w:eastAsia="Arial" w:hAnsi="Arial"/>
                <w:sz w:val="14"/>
                <w:szCs w:val="14"/>
                <w:color w:val="auto"/>
              </w:rPr>
              <w:t>Comprehensive income:</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90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80" w:type="dxa"/>
            <w:vAlign w:val="bottom"/>
            <w:shd w:val="clear" w:color="auto" w:fill="CCEEFF"/>
          </w:tcPr>
          <w:p>
            <w:pPr>
              <w:ind w:left="100"/>
              <w:spacing w:after="0" w:line="126" w:lineRule="exact"/>
              <w:rPr>
                <w:sz w:val="20"/>
                <w:szCs w:val="20"/>
                <w:color w:val="auto"/>
              </w:rPr>
            </w:pPr>
            <w:r>
              <w:rPr>
                <w:rFonts w:ascii="Arial" w:cs="Arial" w:eastAsia="Arial" w:hAnsi="Arial"/>
                <w:sz w:val="14"/>
                <w:szCs w:val="14"/>
                <w:color w:val="auto"/>
              </w:rPr>
              <w:t xml:space="preserve">Net income </w:t>
            </w:r>
            <w:r>
              <w:rPr>
                <w:rFonts w:ascii="Arial" w:cs="Arial" w:eastAsia="Arial" w:hAnsi="Arial"/>
                <w:sz w:val="14"/>
                <w:szCs w:val="14"/>
                <w:b w:val="1"/>
                <w:bCs w:val="1"/>
                <w:color w:val="auto"/>
              </w:rPr>
              <w:t>(as restated,</w:t>
            </w: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80" w:type="dxa"/>
            <w:vAlign w:val="bottom"/>
            <w:shd w:val="clear" w:color="auto" w:fill="CCEEFF"/>
          </w:tcPr>
          <w:p>
            <w:pPr>
              <w:ind w:left="240"/>
              <w:spacing w:after="0"/>
              <w:rPr>
                <w:sz w:val="20"/>
                <w:szCs w:val="20"/>
                <w:color w:val="auto"/>
              </w:rPr>
            </w:pPr>
            <w:r>
              <w:rPr>
                <w:rFonts w:ascii="Arial" w:cs="Arial" w:eastAsia="Arial" w:hAnsi="Arial"/>
                <w:sz w:val="14"/>
                <w:szCs w:val="14"/>
                <w:b w:val="1"/>
                <w:bCs w:val="1"/>
                <w:color w:val="auto"/>
              </w:rPr>
              <w:t>see Note 2)</w:t>
            </w: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57"/>
              <w:spacing w:after="0"/>
              <w:rPr>
                <w:sz w:val="20"/>
                <w:szCs w:val="20"/>
                <w:color w:val="auto"/>
              </w:rPr>
            </w:pPr>
            <w:r>
              <w:rPr>
                <w:rFonts w:ascii="Arial" w:cs="Arial" w:eastAsia="Arial" w:hAnsi="Arial"/>
                <w:sz w:val="14"/>
                <w:szCs w:val="14"/>
                <w:color w:val="auto"/>
              </w:rPr>
              <w:t>175,683</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ind w:left="100"/>
              <w:spacing w:after="0" w:line="130" w:lineRule="exact"/>
              <w:rPr>
                <w:sz w:val="20"/>
                <w:szCs w:val="20"/>
                <w:color w:val="auto"/>
              </w:rPr>
            </w:pPr>
            <w:r>
              <w:rPr>
                <w:rFonts w:ascii="Arial" w:cs="Arial" w:eastAsia="Arial" w:hAnsi="Arial"/>
                <w:sz w:val="14"/>
                <w:szCs w:val="14"/>
                <w:color w:val="auto"/>
              </w:rPr>
              <w:t>Foreign currency translation</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ind w:left="240"/>
              <w:spacing w:after="0" w:line="149" w:lineRule="exact"/>
              <w:rPr>
                <w:sz w:val="20"/>
                <w:szCs w:val="20"/>
                <w:color w:val="auto"/>
              </w:rPr>
            </w:pPr>
            <w:r>
              <w:rPr>
                <w:rFonts w:ascii="Arial" w:cs="Arial" w:eastAsia="Arial" w:hAnsi="Arial"/>
                <w:sz w:val="14"/>
                <w:szCs w:val="14"/>
                <w:color w:val="auto"/>
              </w:rPr>
              <w:t>adjustments, net of</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880" w:type="dxa"/>
            <w:vAlign w:val="bottom"/>
          </w:tcPr>
          <w:p>
            <w:pPr>
              <w:ind w:left="240"/>
              <w:spacing w:after="0" w:line="145" w:lineRule="exact"/>
              <w:rPr>
                <w:sz w:val="20"/>
                <w:szCs w:val="20"/>
                <w:color w:val="auto"/>
              </w:rPr>
            </w:pPr>
            <w:r>
              <w:rPr>
                <w:rFonts w:ascii="Arial" w:cs="Arial" w:eastAsia="Arial" w:hAnsi="Arial"/>
                <w:sz w:val="14"/>
                <w:szCs w:val="14"/>
                <w:color w:val="auto"/>
              </w:rPr>
              <w:t>income tax provision of</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ind w:left="240"/>
              <w:spacing w:after="0" w:line="149" w:lineRule="exact"/>
              <w:rPr>
                <w:sz w:val="20"/>
                <w:szCs w:val="20"/>
                <w:color w:val="auto"/>
              </w:rPr>
            </w:pPr>
            <w:r>
              <w:rPr>
                <w:rFonts w:ascii="Arial" w:cs="Arial" w:eastAsia="Arial" w:hAnsi="Arial"/>
                <w:sz w:val="14"/>
                <w:szCs w:val="14"/>
                <w:color w:val="auto"/>
              </w:rPr>
              <w:t xml:space="preserve">$7.5 million </w:t>
            </w:r>
            <w:r>
              <w:rPr>
                <w:rFonts w:ascii="Arial" w:cs="Arial" w:eastAsia="Arial" w:hAnsi="Arial"/>
                <w:sz w:val="14"/>
                <w:szCs w:val="14"/>
                <w:b w:val="1"/>
                <w:bCs w:val="1"/>
                <w:color w:val="auto"/>
              </w:rPr>
              <w:t>(as restated,</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80" w:type="dxa"/>
            <w:vAlign w:val="bottom"/>
          </w:tcPr>
          <w:p>
            <w:pPr>
              <w:ind w:left="240"/>
              <w:spacing w:after="0"/>
              <w:rPr>
                <w:sz w:val="20"/>
                <w:szCs w:val="20"/>
                <w:color w:val="auto"/>
              </w:rPr>
            </w:pPr>
            <w:r>
              <w:rPr>
                <w:rFonts w:ascii="Arial" w:cs="Arial" w:eastAsia="Arial" w:hAnsi="Arial"/>
                <w:sz w:val="14"/>
                <w:szCs w:val="14"/>
                <w:b w:val="1"/>
                <w:bCs w:val="1"/>
                <w:color w:val="auto"/>
              </w:rPr>
              <w:t>see Note 2)</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47,551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unrealized gains and</w:t>
            </w: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losses on hedges</w:t>
            </w: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reclassified into earnings,</w:t>
            </w: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w:t>
            </w: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line="149" w:lineRule="exact"/>
              <w:rPr>
                <w:sz w:val="20"/>
                <w:szCs w:val="20"/>
                <w:color w:val="auto"/>
              </w:rPr>
            </w:pPr>
            <w:r>
              <w:rPr>
                <w:rFonts w:ascii="Arial" w:cs="Arial" w:eastAsia="Arial" w:hAnsi="Arial"/>
                <w:sz w:val="14"/>
                <w:szCs w:val="14"/>
                <w:color w:val="auto"/>
                <w:w w:val="96"/>
              </w:rPr>
              <w:t>Unrealized loss on hedges, net</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(17,223)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Total comprehensive</w:t>
            </w: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income</w:t>
            </w: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206,805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Arial" w:cs="Arial" w:eastAsia="Arial" w:hAnsi="Arial"/>
                <w:sz w:val="14"/>
                <w:szCs w:val="14"/>
                <w:color w:val="auto"/>
              </w:rPr>
              <w:t>Repurchases of common</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tcPr>
          <w:p>
            <w:pPr>
              <w:ind w:left="120"/>
              <w:spacing w:after="0"/>
              <w:rPr>
                <w:sz w:val="20"/>
                <w:szCs w:val="20"/>
                <w:color w:val="auto"/>
              </w:rPr>
            </w:pPr>
            <w:r>
              <w:rPr>
                <w:rFonts w:ascii="Arial" w:cs="Arial" w:eastAsia="Arial" w:hAnsi="Arial"/>
                <w:sz w:val="14"/>
                <w:szCs w:val="14"/>
                <w:color w:val="auto"/>
              </w:rPr>
              <w:t>stock</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color w:val="auto"/>
              </w:rPr>
              <w:t>229,426</w:t>
            </w: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(4,682)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(4,682)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423,680</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7,714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7,718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Arial" w:cs="Arial" w:eastAsia="Arial" w:hAnsi="Arial"/>
                <w:sz w:val="14"/>
                <w:szCs w:val="14"/>
                <w:color w:val="auto"/>
              </w:rPr>
              <w:t>Income tax benefit from stock</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tcPr>
          <w:p>
            <w:pPr>
              <w:ind w:left="120"/>
              <w:spacing w:after="0"/>
              <w:rPr>
                <w:sz w:val="20"/>
                <w:szCs w:val="20"/>
                <w:color w:val="auto"/>
              </w:rPr>
            </w:pPr>
            <w:r>
              <w:rPr>
                <w:rFonts w:ascii="Arial" w:cs="Arial" w:eastAsia="Arial" w:hAnsi="Arial"/>
                <w:sz w:val="14"/>
                <w:szCs w:val="14"/>
                <w:color w:val="auto"/>
              </w:rPr>
              <w:t>option exercises</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1,189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stock grants</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300,000</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5,460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(5,463)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80" w:type="dxa"/>
            <w:vAlign w:val="bottom"/>
          </w:tcPr>
          <w:p>
            <w:pPr>
              <w:spacing w:after="0" w:line="149" w:lineRule="exact"/>
              <w:rPr>
                <w:sz w:val="20"/>
                <w:szCs w:val="20"/>
                <w:color w:val="auto"/>
              </w:rPr>
            </w:pPr>
            <w:r>
              <w:rPr>
                <w:rFonts w:ascii="Arial" w:cs="Arial" w:eastAsia="Arial" w:hAnsi="Arial"/>
                <w:sz w:val="14"/>
                <w:szCs w:val="14"/>
                <w:color w:val="auto"/>
              </w:rPr>
              <w:t>Restricted stock amortization</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1,526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1,526</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8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 at March 29, 2003</w:t>
            </w:r>
          </w:p>
        </w:tc>
        <w:tc>
          <w:tcPr>
            <w:tcW w:w="82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(as restated, see Note 2)</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102,828,119</w:t>
            </w:r>
          </w:p>
        </w:tc>
        <w:tc>
          <w:tcPr>
            <w:tcW w:w="180" w:type="dxa"/>
            <w:vAlign w:val="bottom"/>
            <w:shd w:val="clear" w:color="auto" w:fill="CCEEFF"/>
          </w:tcPr>
          <w:p>
            <w:pPr>
              <w:jc w:val="right"/>
              <w:ind w:right="67"/>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6"/>
              </w:rPr>
              <w:t>1,028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504,700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57"/>
              <w:spacing w:after="0"/>
              <w:rPr>
                <w:sz w:val="20"/>
                <w:szCs w:val="20"/>
                <w:color w:val="auto"/>
              </w:rPr>
            </w:pPr>
            <w:r>
              <w:rPr>
                <w:rFonts w:ascii="Arial" w:cs="Arial" w:eastAsia="Arial" w:hAnsi="Arial"/>
                <w:sz w:val="14"/>
                <w:szCs w:val="14"/>
                <w:color w:val="auto"/>
              </w:rPr>
              <w:t>772,300</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4,105,932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(77,928)</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11,666</w:t>
            </w:r>
          </w:p>
        </w:tc>
        <w:tc>
          <w:tcPr>
            <w:tcW w:w="1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(6,179)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1,205,587</w:t>
            </w:r>
          </w:p>
        </w:tc>
        <w:tc>
          <w:tcPr>
            <w:tcW w:w="0" w:type="dxa"/>
            <w:vAlign w:val="bottom"/>
          </w:tcPr>
          <w:p>
            <w:pPr>
              <w:spacing w:after="0"/>
              <w:rPr>
                <w:sz w:val="1"/>
                <w:szCs w:val="1"/>
                <w:color w:val="auto"/>
              </w:rPr>
            </w:pPr>
          </w:p>
        </w:tc>
      </w:tr>
      <w:tr>
        <w:trPr>
          <w:trHeight w:val="21"/>
        </w:trPr>
        <w:tc>
          <w:tcPr>
            <w:tcW w:w="1900" w:type="dxa"/>
            <w:vAlign w:val="bottom"/>
            <w:gridSpan w:val="2"/>
            <w:vMerge w:val="restart"/>
          </w:tcPr>
          <w:p>
            <w:pPr>
              <w:spacing w:after="0"/>
              <w:rPr>
                <w:sz w:val="20"/>
                <w:szCs w:val="20"/>
                <w:color w:val="auto"/>
              </w:rPr>
            </w:pPr>
            <w:r>
              <w:rPr>
                <w:rFonts w:ascii="Arial" w:cs="Arial" w:eastAsia="Arial" w:hAnsi="Arial"/>
                <w:sz w:val="14"/>
                <w:szCs w:val="14"/>
                <w:color w:val="auto"/>
              </w:rPr>
              <w:t>Comprehensive income:</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90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80" w:type="dxa"/>
            <w:vAlign w:val="bottom"/>
            <w:shd w:val="clear" w:color="auto" w:fill="CCEEFF"/>
          </w:tcPr>
          <w:p>
            <w:pPr>
              <w:ind w:left="100"/>
              <w:spacing w:after="0" w:line="126" w:lineRule="exact"/>
              <w:rPr>
                <w:sz w:val="20"/>
                <w:szCs w:val="20"/>
                <w:color w:val="auto"/>
              </w:rPr>
            </w:pPr>
            <w:r>
              <w:rPr>
                <w:rFonts w:ascii="Arial" w:cs="Arial" w:eastAsia="Arial" w:hAnsi="Arial"/>
                <w:sz w:val="14"/>
                <w:szCs w:val="14"/>
                <w:color w:val="auto"/>
              </w:rPr>
              <w:t xml:space="preserve">Net income </w:t>
            </w:r>
            <w:r>
              <w:rPr>
                <w:rFonts w:ascii="Arial" w:cs="Arial" w:eastAsia="Arial" w:hAnsi="Arial"/>
                <w:sz w:val="14"/>
                <w:szCs w:val="14"/>
                <w:b w:val="1"/>
                <w:bCs w:val="1"/>
                <w:color w:val="auto"/>
              </w:rPr>
              <w:t>(as restated,</w:t>
            </w: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80" w:type="dxa"/>
            <w:vAlign w:val="bottom"/>
            <w:shd w:val="clear" w:color="auto" w:fill="CCEEFF"/>
          </w:tcPr>
          <w:p>
            <w:pPr>
              <w:ind w:left="240"/>
              <w:spacing w:after="0"/>
              <w:rPr>
                <w:sz w:val="20"/>
                <w:szCs w:val="20"/>
                <w:color w:val="auto"/>
              </w:rPr>
            </w:pPr>
            <w:r>
              <w:rPr>
                <w:rFonts w:ascii="Arial" w:cs="Arial" w:eastAsia="Arial" w:hAnsi="Arial"/>
                <w:sz w:val="14"/>
                <w:szCs w:val="14"/>
                <w:b w:val="1"/>
                <w:bCs w:val="1"/>
                <w:color w:val="auto"/>
              </w:rPr>
              <w:t>see Note 2)</w:t>
            </w: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57"/>
              <w:spacing w:after="0"/>
              <w:rPr>
                <w:sz w:val="20"/>
                <w:szCs w:val="20"/>
                <w:color w:val="auto"/>
              </w:rPr>
            </w:pPr>
            <w:r>
              <w:rPr>
                <w:rFonts w:ascii="Arial" w:cs="Arial" w:eastAsia="Arial" w:hAnsi="Arial"/>
                <w:sz w:val="14"/>
                <w:szCs w:val="14"/>
                <w:color w:val="auto"/>
              </w:rPr>
              <w:t>169,225</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ind w:left="100"/>
              <w:spacing w:after="0" w:line="130" w:lineRule="exact"/>
              <w:rPr>
                <w:sz w:val="20"/>
                <w:szCs w:val="20"/>
                <w:color w:val="auto"/>
              </w:rPr>
            </w:pPr>
            <w:r>
              <w:rPr>
                <w:rFonts w:ascii="Arial" w:cs="Arial" w:eastAsia="Arial" w:hAnsi="Arial"/>
                <w:sz w:val="14"/>
                <w:szCs w:val="14"/>
                <w:color w:val="auto"/>
              </w:rPr>
              <w:t>Foreign currency translation</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ind w:left="240"/>
              <w:spacing w:after="0" w:line="149" w:lineRule="exact"/>
              <w:rPr>
                <w:sz w:val="20"/>
                <w:szCs w:val="20"/>
                <w:color w:val="auto"/>
              </w:rPr>
            </w:pPr>
            <w:r>
              <w:rPr>
                <w:rFonts w:ascii="Arial" w:cs="Arial" w:eastAsia="Arial" w:hAnsi="Arial"/>
                <w:sz w:val="14"/>
                <w:szCs w:val="14"/>
                <w:color w:val="auto"/>
              </w:rPr>
              <w:t>adjustments, net of</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880" w:type="dxa"/>
            <w:vAlign w:val="bottom"/>
          </w:tcPr>
          <w:p>
            <w:pPr>
              <w:ind w:left="240"/>
              <w:spacing w:after="0" w:line="145" w:lineRule="exact"/>
              <w:rPr>
                <w:sz w:val="20"/>
                <w:szCs w:val="20"/>
                <w:color w:val="auto"/>
              </w:rPr>
            </w:pPr>
            <w:r>
              <w:rPr>
                <w:rFonts w:ascii="Arial" w:cs="Arial" w:eastAsia="Arial" w:hAnsi="Arial"/>
                <w:sz w:val="14"/>
                <w:szCs w:val="14"/>
                <w:color w:val="auto"/>
              </w:rPr>
              <w:t>income tax provision of</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ind w:left="240"/>
              <w:spacing w:after="0" w:line="149" w:lineRule="exact"/>
              <w:rPr>
                <w:sz w:val="20"/>
                <w:szCs w:val="20"/>
                <w:color w:val="auto"/>
              </w:rPr>
            </w:pPr>
            <w:r>
              <w:rPr>
                <w:rFonts w:ascii="Arial" w:cs="Arial" w:eastAsia="Arial" w:hAnsi="Arial"/>
                <w:sz w:val="14"/>
                <w:szCs w:val="14"/>
                <w:color w:val="auto"/>
              </w:rPr>
              <w:t xml:space="preserve">$1.8 million </w:t>
            </w:r>
            <w:r>
              <w:rPr>
                <w:rFonts w:ascii="Arial" w:cs="Arial" w:eastAsia="Arial" w:hAnsi="Arial"/>
                <w:sz w:val="14"/>
                <w:szCs w:val="14"/>
                <w:b w:val="1"/>
                <w:bCs w:val="1"/>
                <w:color w:val="auto"/>
              </w:rPr>
              <w:t>(as restated,</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80" w:type="dxa"/>
            <w:vAlign w:val="bottom"/>
          </w:tcPr>
          <w:p>
            <w:pPr>
              <w:ind w:left="240"/>
              <w:spacing w:after="0"/>
              <w:rPr>
                <w:sz w:val="20"/>
                <w:szCs w:val="20"/>
                <w:color w:val="auto"/>
              </w:rPr>
            </w:pPr>
            <w:r>
              <w:rPr>
                <w:rFonts w:ascii="Arial" w:cs="Arial" w:eastAsia="Arial" w:hAnsi="Arial"/>
                <w:sz w:val="14"/>
                <w:szCs w:val="14"/>
                <w:b w:val="1"/>
                <w:bCs w:val="1"/>
                <w:color w:val="auto"/>
              </w:rPr>
              <w:t>see Note 2)</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43,809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Unrealized loss on hedges, net</w:t>
            </w: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(32,371)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ind w:left="100"/>
              <w:spacing w:after="0" w:line="130" w:lineRule="exact"/>
              <w:rPr>
                <w:sz w:val="20"/>
                <w:szCs w:val="20"/>
                <w:color w:val="auto"/>
              </w:rPr>
            </w:pPr>
            <w:r>
              <w:rPr>
                <w:rFonts w:ascii="Arial" w:cs="Arial" w:eastAsia="Arial" w:hAnsi="Arial"/>
                <w:sz w:val="14"/>
                <w:szCs w:val="14"/>
                <w:color w:val="auto"/>
              </w:rPr>
              <w:t>Total comprehensive</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tcPr>
          <w:p>
            <w:pPr>
              <w:ind w:left="240"/>
              <w:spacing w:after="0"/>
              <w:rPr>
                <w:sz w:val="20"/>
                <w:szCs w:val="20"/>
                <w:color w:val="auto"/>
              </w:rPr>
            </w:pPr>
            <w:r>
              <w:rPr>
                <w:rFonts w:ascii="Arial" w:cs="Arial" w:eastAsia="Arial" w:hAnsi="Arial"/>
                <w:sz w:val="14"/>
                <w:szCs w:val="14"/>
                <w:color w:val="auto"/>
              </w:rPr>
              <w:t>income</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180,663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w:t>
            </w: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97"/>
              <w:spacing w:after="0" w:line="149" w:lineRule="exact"/>
              <w:rPr>
                <w:sz w:val="20"/>
                <w:szCs w:val="20"/>
                <w:color w:val="auto"/>
              </w:rPr>
            </w:pPr>
            <w:r>
              <w:rPr>
                <w:rFonts w:ascii="Arial" w:cs="Arial" w:eastAsia="Arial" w:hAnsi="Arial"/>
                <w:sz w:val="14"/>
                <w:szCs w:val="14"/>
                <w:color w:val="auto"/>
              </w:rPr>
              <w:t>(19,923)</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(19,923)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Arial" w:cs="Arial" w:eastAsia="Arial" w:hAnsi="Arial"/>
                <w:sz w:val="14"/>
                <w:szCs w:val="14"/>
                <w:color w:val="auto"/>
              </w:rPr>
              <w:t>Repurchases of common</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tcPr>
          <w:p>
            <w:pPr>
              <w:ind w:left="120"/>
              <w:spacing w:after="0"/>
              <w:rPr>
                <w:sz w:val="20"/>
                <w:szCs w:val="20"/>
                <w:color w:val="auto"/>
              </w:rPr>
            </w:pPr>
            <w:r>
              <w:rPr>
                <w:rFonts w:ascii="Arial" w:cs="Arial" w:eastAsia="Arial" w:hAnsi="Arial"/>
                <w:sz w:val="14"/>
                <w:szCs w:val="14"/>
                <w:color w:val="auto"/>
              </w:rPr>
              <w:t>stock</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color w:val="auto"/>
              </w:rPr>
              <w:t>39,868</w:t>
            </w: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(1,047)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(1,047)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1,950,085</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40,394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40,414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Arial" w:cs="Arial" w:eastAsia="Arial" w:hAnsi="Arial"/>
                <w:sz w:val="14"/>
                <w:szCs w:val="14"/>
                <w:color w:val="auto"/>
              </w:rPr>
              <w:t>Income tax benefit from stock</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tcPr>
          <w:p>
            <w:pPr>
              <w:ind w:left="120"/>
              <w:spacing w:after="0"/>
              <w:rPr>
                <w:sz w:val="20"/>
                <w:szCs w:val="20"/>
                <w:color w:val="auto"/>
              </w:rPr>
            </w:pPr>
            <w:r>
              <w:rPr>
                <w:rFonts w:ascii="Arial" w:cs="Arial" w:eastAsia="Arial" w:hAnsi="Arial"/>
                <w:sz w:val="14"/>
                <w:szCs w:val="14"/>
                <w:color w:val="auto"/>
              </w:rPr>
              <w:t>option exercises</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5,703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5,703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stock grants</w:t>
            </w: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12,660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(12,665)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80" w:type="dxa"/>
            <w:vAlign w:val="bottom"/>
          </w:tcPr>
          <w:p>
            <w:pPr>
              <w:spacing w:after="0" w:line="149" w:lineRule="exact"/>
              <w:rPr>
                <w:sz w:val="20"/>
                <w:szCs w:val="20"/>
                <w:color w:val="auto"/>
              </w:rPr>
            </w:pPr>
            <w:r>
              <w:rPr>
                <w:rFonts w:ascii="Arial" w:cs="Arial" w:eastAsia="Arial" w:hAnsi="Arial"/>
                <w:sz w:val="14"/>
                <w:szCs w:val="14"/>
                <w:color w:val="auto"/>
              </w:rPr>
              <w:t>Restricted stock amortization</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4,050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4,050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8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 at April 3, 2004 (as</w:t>
            </w:r>
          </w:p>
        </w:tc>
        <w:tc>
          <w:tcPr>
            <w:tcW w:w="82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restated, see Note 2)</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104,778,204</w:t>
            </w:r>
          </w:p>
        </w:tc>
        <w:tc>
          <w:tcPr>
            <w:tcW w:w="180" w:type="dxa"/>
            <w:vAlign w:val="bottom"/>
            <w:shd w:val="clear" w:color="auto" w:fill="CCEEFF"/>
          </w:tcPr>
          <w:p>
            <w:pPr>
              <w:jc w:val="right"/>
              <w:ind w:right="67"/>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6"/>
              </w:rPr>
              <w:t>1,053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563,457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57"/>
              <w:spacing w:after="0"/>
              <w:rPr>
                <w:sz w:val="20"/>
                <w:szCs w:val="20"/>
                <w:color w:val="auto"/>
              </w:rPr>
            </w:pPr>
            <w:r>
              <w:rPr>
                <w:rFonts w:ascii="Arial" w:cs="Arial" w:eastAsia="Arial" w:hAnsi="Arial"/>
                <w:sz w:val="14"/>
                <w:szCs w:val="14"/>
                <w:color w:val="auto"/>
              </w:rPr>
              <w:t>921,602</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4,145,800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(78,975)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23,104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(14,794)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1,415,447</w:t>
            </w:r>
          </w:p>
        </w:tc>
        <w:tc>
          <w:tcPr>
            <w:tcW w:w="0" w:type="dxa"/>
            <w:vAlign w:val="bottom"/>
          </w:tcPr>
          <w:p>
            <w:pPr>
              <w:spacing w:after="0"/>
              <w:rPr>
                <w:sz w:val="1"/>
                <w:szCs w:val="1"/>
                <w:color w:val="auto"/>
              </w:rPr>
            </w:pPr>
          </w:p>
        </w:tc>
      </w:tr>
      <w:tr>
        <w:trPr>
          <w:trHeight w:val="21"/>
        </w:trPr>
        <w:tc>
          <w:tcPr>
            <w:tcW w:w="1900" w:type="dxa"/>
            <w:vAlign w:val="bottom"/>
            <w:gridSpan w:val="2"/>
            <w:vMerge w:val="restart"/>
          </w:tcPr>
          <w:p>
            <w:pPr>
              <w:spacing w:after="0"/>
              <w:rPr>
                <w:sz w:val="20"/>
                <w:szCs w:val="20"/>
                <w:color w:val="auto"/>
              </w:rPr>
            </w:pPr>
            <w:r>
              <w:rPr>
                <w:rFonts w:ascii="Arial" w:cs="Arial" w:eastAsia="Arial" w:hAnsi="Arial"/>
                <w:sz w:val="14"/>
                <w:szCs w:val="14"/>
                <w:color w:val="auto"/>
              </w:rPr>
              <w:t>Comprehensive income:</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90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income</w:t>
            </w: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57"/>
              <w:spacing w:after="0" w:line="149" w:lineRule="exact"/>
              <w:rPr>
                <w:sz w:val="20"/>
                <w:szCs w:val="20"/>
                <w:color w:val="auto"/>
              </w:rPr>
            </w:pPr>
            <w:r>
              <w:rPr>
                <w:rFonts w:ascii="Arial" w:cs="Arial" w:eastAsia="Arial" w:hAnsi="Arial"/>
                <w:sz w:val="14"/>
                <w:szCs w:val="14"/>
                <w:color w:val="auto"/>
              </w:rPr>
              <w:t>190,425</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ind w:left="100"/>
              <w:spacing w:after="0" w:line="130" w:lineRule="exact"/>
              <w:rPr>
                <w:sz w:val="20"/>
                <w:szCs w:val="20"/>
                <w:color w:val="auto"/>
              </w:rPr>
            </w:pPr>
            <w:r>
              <w:rPr>
                <w:rFonts w:ascii="Arial" w:cs="Arial" w:eastAsia="Arial" w:hAnsi="Arial"/>
                <w:sz w:val="14"/>
                <w:szCs w:val="14"/>
                <w:color w:val="auto"/>
              </w:rPr>
              <w:t>Foreign currency translation</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ind w:left="240"/>
              <w:spacing w:after="0" w:line="149" w:lineRule="exact"/>
              <w:rPr>
                <w:sz w:val="20"/>
                <w:szCs w:val="20"/>
                <w:color w:val="auto"/>
              </w:rPr>
            </w:pPr>
            <w:r>
              <w:rPr>
                <w:rFonts w:ascii="Arial" w:cs="Arial" w:eastAsia="Arial" w:hAnsi="Arial"/>
                <w:sz w:val="14"/>
                <w:szCs w:val="14"/>
                <w:color w:val="auto"/>
              </w:rPr>
              <w:t>adjustments, net of</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ind w:left="240"/>
              <w:spacing w:after="0" w:line="149" w:lineRule="exact"/>
              <w:rPr>
                <w:sz w:val="20"/>
                <w:szCs w:val="20"/>
                <w:color w:val="auto"/>
              </w:rPr>
            </w:pPr>
            <w:r>
              <w:rPr>
                <w:rFonts w:ascii="Arial" w:cs="Arial" w:eastAsia="Arial" w:hAnsi="Arial"/>
                <w:sz w:val="14"/>
                <w:szCs w:val="14"/>
                <w:color w:val="auto"/>
              </w:rPr>
              <w:t>income tax provision of</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tcPr>
          <w:p>
            <w:pPr>
              <w:ind w:left="240"/>
              <w:spacing w:after="0"/>
              <w:rPr>
                <w:sz w:val="20"/>
                <w:szCs w:val="20"/>
                <w:color w:val="auto"/>
              </w:rPr>
            </w:pPr>
            <w:r>
              <w:rPr>
                <w:rFonts w:ascii="Arial" w:cs="Arial" w:eastAsia="Arial" w:hAnsi="Arial"/>
                <w:sz w:val="14"/>
                <w:szCs w:val="14"/>
                <w:color w:val="auto"/>
              </w:rPr>
              <w:t>$8.7 million</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11,322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Unrealized loss on hedges, net</w:t>
            </w: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(4,453)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ind w:left="100"/>
              <w:spacing w:after="0" w:line="130" w:lineRule="exact"/>
              <w:rPr>
                <w:sz w:val="20"/>
                <w:szCs w:val="20"/>
                <w:color w:val="auto"/>
              </w:rPr>
            </w:pPr>
            <w:r>
              <w:rPr>
                <w:rFonts w:ascii="Arial" w:cs="Arial" w:eastAsia="Arial" w:hAnsi="Arial"/>
                <w:sz w:val="14"/>
                <w:szCs w:val="14"/>
                <w:color w:val="auto"/>
              </w:rPr>
              <w:t>Total comprehensive</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tcPr>
          <w:p>
            <w:pPr>
              <w:ind w:left="240"/>
              <w:spacing w:after="0"/>
              <w:rPr>
                <w:sz w:val="20"/>
                <w:szCs w:val="20"/>
                <w:color w:val="auto"/>
              </w:rPr>
            </w:pPr>
            <w:r>
              <w:rPr>
                <w:rFonts w:ascii="Arial" w:cs="Arial" w:eastAsia="Arial" w:hAnsi="Arial"/>
                <w:sz w:val="14"/>
                <w:szCs w:val="14"/>
                <w:color w:val="auto"/>
              </w:rPr>
              <w:t>income</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197,294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w:t>
            </w: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97"/>
              <w:spacing w:after="0" w:line="149" w:lineRule="exact"/>
              <w:rPr>
                <w:sz w:val="20"/>
                <w:szCs w:val="20"/>
                <w:color w:val="auto"/>
              </w:rPr>
            </w:pPr>
            <w:r>
              <w:rPr>
                <w:rFonts w:ascii="Arial" w:cs="Arial" w:eastAsia="Arial" w:hAnsi="Arial"/>
                <w:sz w:val="14"/>
                <w:szCs w:val="14"/>
                <w:color w:val="auto"/>
              </w:rPr>
              <w:t>(21,717)</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(21,717)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Arial" w:cs="Arial" w:eastAsia="Arial" w:hAnsi="Arial"/>
                <w:sz w:val="14"/>
                <w:szCs w:val="14"/>
                <w:color w:val="auto"/>
              </w:rPr>
              <w:t>Repurchases of common</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tcPr>
          <w:p>
            <w:pPr>
              <w:ind w:left="120"/>
              <w:spacing w:after="0"/>
              <w:rPr>
                <w:sz w:val="20"/>
                <w:szCs w:val="20"/>
                <w:color w:val="auto"/>
              </w:rPr>
            </w:pPr>
            <w:r>
              <w:rPr>
                <w:rFonts w:ascii="Arial" w:cs="Arial" w:eastAsia="Arial" w:hAnsi="Arial"/>
                <w:sz w:val="14"/>
                <w:szCs w:val="14"/>
                <w:color w:val="auto"/>
              </w:rPr>
              <w:t>stock</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color w:val="auto"/>
              </w:rPr>
              <w:t>31,800</w:t>
            </w: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(1,052)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(1,052)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2,443,076</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54,256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54,281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Arial" w:cs="Arial" w:eastAsia="Arial" w:hAnsi="Arial"/>
                <w:sz w:val="14"/>
                <w:szCs w:val="14"/>
                <w:color w:val="auto"/>
              </w:rPr>
              <w:t>Income tax benefit from stock</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tcPr>
          <w:p>
            <w:pPr>
              <w:ind w:left="120"/>
              <w:spacing w:after="0"/>
              <w:rPr>
                <w:sz w:val="20"/>
                <w:szCs w:val="20"/>
                <w:color w:val="auto"/>
              </w:rPr>
            </w:pPr>
            <w:r>
              <w:rPr>
                <w:rFonts w:ascii="Arial" w:cs="Arial" w:eastAsia="Arial" w:hAnsi="Arial"/>
                <w:sz w:val="14"/>
                <w:szCs w:val="14"/>
                <w:color w:val="auto"/>
              </w:rPr>
              <w:t>option exercises</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18,604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18,604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stock grants</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75,000</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27,962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(27,969)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80" w:type="dxa"/>
            <w:vAlign w:val="bottom"/>
          </w:tcPr>
          <w:p>
            <w:pPr>
              <w:spacing w:after="0" w:line="149" w:lineRule="exact"/>
              <w:rPr>
                <w:sz w:val="20"/>
                <w:szCs w:val="20"/>
                <w:color w:val="auto"/>
              </w:rPr>
            </w:pPr>
            <w:r>
              <w:rPr>
                <w:rFonts w:ascii="Arial" w:cs="Arial" w:eastAsia="Arial" w:hAnsi="Arial"/>
                <w:sz w:val="14"/>
                <w:szCs w:val="14"/>
                <w:color w:val="auto"/>
              </w:rPr>
              <w:t>Restricted stock amortization</w:t>
            </w:r>
          </w:p>
        </w:tc>
        <w:tc>
          <w:tcPr>
            <w:tcW w:w="8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12,851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12,851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April 2, 2005</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107,296,280</w:t>
            </w:r>
          </w:p>
        </w:tc>
        <w:tc>
          <w:tcPr>
            <w:tcW w:w="180" w:type="dxa"/>
            <w:vAlign w:val="bottom"/>
            <w:shd w:val="clear" w:color="auto" w:fill="CCEEFF"/>
          </w:tcPr>
          <w:p>
            <w:pPr>
              <w:jc w:val="right"/>
              <w:ind w:right="67"/>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1,085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664,279</w:t>
            </w: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1,090,310</w:t>
            </w:r>
          </w:p>
        </w:tc>
        <w:tc>
          <w:tcPr>
            <w:tcW w:w="2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4,177,600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(80,027)</w:t>
            </w:r>
          </w:p>
        </w:tc>
        <w:tc>
          <w:tcPr>
            <w:tcW w:w="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29,973</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(29,912)</w:t>
            </w: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1,675,708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Fiscal Year Ended</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tcPr>
          <w:p>
            <w:pPr>
              <w:jc w:val="right"/>
              <w:ind w:right="920"/>
              <w:spacing w:after="0" w:line="133" w:lineRule="exact"/>
              <w:rPr>
                <w:sz w:val="20"/>
                <w:szCs w:val="20"/>
                <w:color w:val="auto"/>
              </w:rPr>
            </w:pPr>
            <w:r>
              <w:rPr>
                <w:rFonts w:ascii="Arial" w:cs="Arial" w:eastAsia="Arial" w:hAnsi="Arial"/>
                <w:sz w:val="14"/>
                <w:szCs w:val="14"/>
                <w:b w:val="1"/>
                <w:bCs w:val="1"/>
                <w:color w:val="auto"/>
              </w:rPr>
              <w:t>April 2,</w:t>
            </w:r>
          </w:p>
        </w:tc>
        <w:tc>
          <w:tcPr>
            <w:tcW w:w="100" w:type="dxa"/>
            <w:vAlign w:val="bottom"/>
          </w:tcPr>
          <w:p>
            <w:pPr>
              <w:spacing w:after="0"/>
              <w:rPr>
                <w:sz w:val="11"/>
                <w:szCs w:val="11"/>
                <w:color w:val="auto"/>
              </w:rPr>
            </w:pPr>
          </w:p>
        </w:tc>
        <w:tc>
          <w:tcPr>
            <w:tcW w:w="1640" w:type="dxa"/>
            <w:vAlign w:val="bottom"/>
            <w:gridSpan w:val="2"/>
          </w:tcPr>
          <w:p>
            <w:pPr>
              <w:jc w:val="center"/>
              <w:ind w:right="640"/>
              <w:spacing w:after="0" w:line="133" w:lineRule="exact"/>
              <w:rPr>
                <w:sz w:val="20"/>
                <w:szCs w:val="20"/>
                <w:color w:val="auto"/>
              </w:rPr>
            </w:pPr>
            <w:r>
              <w:rPr>
                <w:rFonts w:ascii="Arial" w:cs="Arial" w:eastAsia="Arial" w:hAnsi="Arial"/>
                <w:sz w:val="14"/>
                <w:szCs w:val="14"/>
                <w:b w:val="1"/>
                <w:bCs w:val="1"/>
                <w:color w:val="auto"/>
              </w:rPr>
              <w:t>April 3,</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68"/>
              <w:spacing w:after="0" w:line="133" w:lineRule="exact"/>
              <w:rPr>
                <w:sz w:val="20"/>
                <w:szCs w:val="20"/>
                <w:color w:val="auto"/>
              </w:rPr>
            </w:pPr>
            <w:r>
              <w:rPr>
                <w:rFonts w:ascii="Arial" w:cs="Arial" w:eastAsia="Arial" w:hAnsi="Arial"/>
                <w:sz w:val="14"/>
                <w:szCs w:val="14"/>
                <w:b w:val="1"/>
                <w:bCs w:val="1"/>
                <w:color w:val="auto"/>
                <w:w w:val="99"/>
              </w:rPr>
              <w:t>March 29,</w:t>
            </w: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2005</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2004</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2003</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ind w:right="8"/>
              <w:spacing w:after="0" w:line="133" w:lineRule="exact"/>
              <w:rPr>
                <w:sz w:val="20"/>
                <w:szCs w:val="20"/>
                <w:color w:val="auto"/>
              </w:rPr>
            </w:pPr>
            <w:r>
              <w:rPr>
                <w:rFonts w:ascii="Arial" w:cs="Arial" w:eastAsia="Arial" w:hAnsi="Arial"/>
                <w:sz w:val="14"/>
                <w:szCs w:val="14"/>
                <w:b w:val="1"/>
                <w:bCs w:val="1"/>
                <w:color w:val="auto"/>
                <w:w w:val="91"/>
              </w:rPr>
              <w:t>(As Restated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88"/>
              <w:spacing w:after="0" w:line="133" w:lineRule="exact"/>
              <w:rPr>
                <w:sz w:val="20"/>
                <w:szCs w:val="20"/>
                <w:color w:val="auto"/>
              </w:rPr>
            </w:pPr>
            <w:r>
              <w:rPr>
                <w:rFonts w:ascii="Arial" w:cs="Arial" w:eastAsia="Arial" w:hAnsi="Arial"/>
                <w:sz w:val="14"/>
                <w:szCs w:val="14"/>
                <w:b w:val="1"/>
                <w:bCs w:val="1"/>
                <w:color w:val="auto"/>
                <w:w w:val="91"/>
              </w:rPr>
              <w:t>(As Restated</w:t>
            </w: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See Note 2)</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See Note 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(Dollars in thousands)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190,425</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6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169,229</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175,683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ind w:left="280"/>
              <w:spacing w:after="0" w:line="149" w:lineRule="exact"/>
              <w:rPr>
                <w:sz w:val="20"/>
                <w:szCs w:val="20"/>
                <w:color w:val="auto"/>
              </w:rPr>
            </w:pPr>
            <w:r>
              <w:rPr>
                <w:rFonts w:ascii="Arial" w:cs="Arial" w:eastAsia="Arial" w:hAnsi="Arial"/>
                <w:sz w:val="14"/>
                <w:szCs w:val="14"/>
                <w:color w:val="auto"/>
              </w:rPr>
              <w:t>Provision for deferred income taxes</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10,103</w:t>
            </w:r>
          </w:p>
        </w:tc>
        <w:tc>
          <w:tcPr>
            <w:tcW w:w="100" w:type="dxa"/>
            <w:vAlign w:val="bottom"/>
          </w:tcPr>
          <w:p>
            <w:pPr>
              <w:spacing w:after="0"/>
              <w:rPr>
                <w:sz w:val="12"/>
                <w:szCs w:val="12"/>
                <w:color w:val="auto"/>
              </w:rPr>
            </w:pPr>
          </w:p>
        </w:tc>
        <w:tc>
          <w:tcPr>
            <w:tcW w:w="16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(5,095)</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9,891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Depreciation and amortization</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103,633</w:t>
            </w:r>
          </w:p>
        </w:tc>
        <w:tc>
          <w:tcPr>
            <w:tcW w:w="1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85,635</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80,618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ind w:left="280"/>
              <w:spacing w:after="0" w:line="149" w:lineRule="exact"/>
              <w:rPr>
                <w:sz w:val="20"/>
                <w:szCs w:val="20"/>
                <w:color w:val="auto"/>
              </w:rPr>
            </w:pPr>
            <w:r>
              <w:rPr>
                <w:rFonts w:ascii="Arial" w:cs="Arial" w:eastAsia="Arial" w:hAnsi="Arial"/>
                <w:sz w:val="14"/>
                <w:szCs w:val="14"/>
                <w:color w:val="auto"/>
              </w:rPr>
              <w:t>Provision for losses on accounts receivable</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6,020</w:t>
            </w:r>
          </w:p>
        </w:tc>
        <w:tc>
          <w:tcPr>
            <w:tcW w:w="100" w:type="dxa"/>
            <w:vAlign w:val="bottom"/>
          </w:tcPr>
          <w:p>
            <w:pPr>
              <w:spacing w:after="0"/>
              <w:rPr>
                <w:sz w:val="12"/>
                <w:szCs w:val="12"/>
                <w:color w:val="auto"/>
              </w:rPr>
            </w:pPr>
          </w:p>
        </w:tc>
        <w:tc>
          <w:tcPr>
            <w:tcW w:w="16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2,623</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1,760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Stock compensation expenses</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12,851</w:t>
            </w:r>
          </w:p>
        </w:tc>
        <w:tc>
          <w:tcPr>
            <w:tcW w:w="1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4,050</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1,526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ind w:left="280"/>
              <w:spacing w:after="0" w:line="149" w:lineRule="exact"/>
              <w:rPr>
                <w:sz w:val="20"/>
                <w:szCs w:val="20"/>
                <w:color w:val="auto"/>
              </w:rPr>
            </w:pPr>
            <w:r>
              <w:rPr>
                <w:rFonts w:ascii="Arial" w:cs="Arial" w:eastAsia="Arial" w:hAnsi="Arial"/>
                <w:sz w:val="14"/>
                <w:szCs w:val="14"/>
                <w:color w:val="auto"/>
              </w:rPr>
              <w:t>Tax benefit from stock option exercises</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18,604</w:t>
            </w:r>
          </w:p>
        </w:tc>
        <w:tc>
          <w:tcPr>
            <w:tcW w:w="100" w:type="dxa"/>
            <w:vAlign w:val="bottom"/>
          </w:tcPr>
          <w:p>
            <w:pPr>
              <w:spacing w:after="0"/>
              <w:rPr>
                <w:sz w:val="12"/>
                <w:szCs w:val="12"/>
                <w:color w:val="auto"/>
              </w:rPr>
            </w:pPr>
          </w:p>
        </w:tc>
        <w:tc>
          <w:tcPr>
            <w:tcW w:w="16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5,703</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Changes in other non-current liabilities</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26,239</w:t>
            </w:r>
          </w:p>
        </w:tc>
        <w:tc>
          <w:tcPr>
            <w:tcW w:w="1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(15,524)</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1,445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ind w:left="280"/>
              <w:spacing w:after="0" w:line="149" w:lineRule="exact"/>
              <w:rPr>
                <w:sz w:val="20"/>
                <w:szCs w:val="20"/>
                <w:color w:val="auto"/>
              </w:rPr>
            </w:pPr>
            <w:r>
              <w:rPr>
                <w:rFonts w:ascii="Arial" w:cs="Arial" w:eastAsia="Arial" w:hAnsi="Arial"/>
                <w:sz w:val="14"/>
                <w:szCs w:val="14"/>
                <w:color w:val="auto"/>
              </w:rPr>
              <w:t>Loss on disposal of property and equipment</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7,700</w:t>
            </w:r>
          </w:p>
        </w:tc>
        <w:tc>
          <w:tcPr>
            <w:tcW w:w="100" w:type="dxa"/>
            <w:vAlign w:val="bottom"/>
          </w:tcPr>
          <w:p>
            <w:pPr>
              <w:spacing w:after="0"/>
              <w:rPr>
                <w:sz w:val="12"/>
                <w:szCs w:val="12"/>
                <w:color w:val="auto"/>
              </w:rPr>
            </w:pPr>
          </w:p>
        </w:tc>
        <w:tc>
          <w:tcPr>
            <w:tcW w:w="16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7,391</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13,452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Provision for restructuring</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19,566</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14,443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ind w:left="280"/>
              <w:spacing w:after="0" w:line="149" w:lineRule="exact"/>
              <w:rPr>
                <w:sz w:val="20"/>
                <w:szCs w:val="20"/>
                <w:color w:val="auto"/>
              </w:rPr>
            </w:pPr>
            <w:r>
              <w:rPr>
                <w:rFonts w:ascii="Arial" w:cs="Arial" w:eastAsia="Arial" w:hAnsi="Arial"/>
                <w:sz w:val="14"/>
                <w:szCs w:val="14"/>
                <w:color w:val="auto"/>
              </w:rPr>
              <w:t>Foreign currency (gains) losses</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(11,637)</w:t>
            </w:r>
          </w:p>
        </w:tc>
        <w:tc>
          <w:tcPr>
            <w:tcW w:w="100" w:type="dxa"/>
            <w:vAlign w:val="bottom"/>
          </w:tcPr>
          <w:p>
            <w:pPr>
              <w:spacing w:after="0"/>
              <w:rPr>
                <w:sz w:val="12"/>
                <w:szCs w:val="12"/>
                <w:color w:val="auto"/>
              </w:rPr>
            </w:pPr>
          </w:p>
        </w:tc>
        <w:tc>
          <w:tcPr>
            <w:tcW w:w="16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(4,398)</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529</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Changes in assets and liabilities, net of acquisitions:</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ind w:left="560"/>
              <w:spacing w:after="0" w:line="149" w:lineRule="exact"/>
              <w:rPr>
                <w:sz w:val="20"/>
                <w:szCs w:val="20"/>
                <w:color w:val="auto"/>
              </w:rPr>
            </w:pPr>
            <w:r>
              <w:rPr>
                <w:rFonts w:ascii="Arial" w:cs="Arial" w:eastAsia="Arial" w:hAnsi="Arial"/>
                <w:sz w:val="14"/>
                <w:szCs w:val="14"/>
                <w:color w:val="auto"/>
              </w:rPr>
              <w:t>Accounts receivable</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(16,096)</w:t>
            </w:r>
          </w:p>
        </w:tc>
        <w:tc>
          <w:tcPr>
            <w:tcW w:w="100" w:type="dxa"/>
            <w:vAlign w:val="bottom"/>
          </w:tcPr>
          <w:p>
            <w:pPr>
              <w:spacing w:after="0"/>
              <w:rPr>
                <w:sz w:val="12"/>
                <w:szCs w:val="12"/>
                <w:color w:val="auto"/>
              </w:rPr>
            </w:pPr>
          </w:p>
        </w:tc>
        <w:tc>
          <w:tcPr>
            <w:tcW w:w="16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(56,581)</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(7,798)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Inventories</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(23,530)</w:t>
            </w:r>
          </w:p>
        </w:tc>
        <w:tc>
          <w:tcPr>
            <w:tcW w:w="1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14,118</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6,365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ind w:left="560"/>
              <w:spacing w:after="0" w:line="149" w:lineRule="exact"/>
              <w:rPr>
                <w:sz w:val="20"/>
                <w:szCs w:val="20"/>
                <w:color w:val="auto"/>
              </w:rPr>
            </w:pPr>
            <w:r>
              <w:rPr>
                <w:rFonts w:ascii="Arial" w:cs="Arial" w:eastAsia="Arial" w:hAnsi="Arial"/>
                <w:sz w:val="14"/>
                <w:szCs w:val="14"/>
                <w:color w:val="auto"/>
              </w:rPr>
              <w:t>Prepaid expenses and other</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10,470</w:t>
            </w:r>
          </w:p>
        </w:tc>
        <w:tc>
          <w:tcPr>
            <w:tcW w:w="100" w:type="dxa"/>
            <w:vAlign w:val="bottom"/>
          </w:tcPr>
          <w:p>
            <w:pPr>
              <w:spacing w:after="0"/>
              <w:rPr>
                <w:sz w:val="12"/>
                <w:szCs w:val="12"/>
                <w:color w:val="auto"/>
              </w:rPr>
            </w:pPr>
          </w:p>
        </w:tc>
        <w:tc>
          <w:tcPr>
            <w:tcW w:w="16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(30,741)</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(21,347)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Other assets</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(8,352)</w:t>
            </w:r>
          </w:p>
        </w:tc>
        <w:tc>
          <w:tcPr>
            <w:tcW w:w="1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(29,515)</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2,868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ind w:left="560"/>
              <w:spacing w:after="0" w:line="149" w:lineRule="exact"/>
              <w:rPr>
                <w:sz w:val="20"/>
                <w:szCs w:val="20"/>
                <w:color w:val="auto"/>
              </w:rPr>
            </w:pPr>
            <w:r>
              <w:rPr>
                <w:rFonts w:ascii="Arial" w:cs="Arial" w:eastAsia="Arial" w:hAnsi="Arial"/>
                <w:sz w:val="14"/>
                <w:szCs w:val="14"/>
                <w:color w:val="auto"/>
              </w:rPr>
              <w:t>Accounts payable</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(6,632)</w:t>
            </w:r>
          </w:p>
        </w:tc>
        <w:tc>
          <w:tcPr>
            <w:tcW w:w="100" w:type="dxa"/>
            <w:vAlign w:val="bottom"/>
          </w:tcPr>
          <w:p>
            <w:pPr>
              <w:spacing w:after="0"/>
              <w:rPr>
                <w:sz w:val="12"/>
                <w:szCs w:val="12"/>
                <w:color w:val="auto"/>
              </w:rPr>
            </w:pPr>
          </w:p>
        </w:tc>
        <w:tc>
          <w:tcPr>
            <w:tcW w:w="16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1,382</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(5,080)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Income taxes payable</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(40,641)</w:t>
            </w:r>
          </w:p>
        </w:tc>
        <w:tc>
          <w:tcPr>
            <w:tcW w:w="1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22,275</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ind w:left="560"/>
              <w:spacing w:after="0" w:line="149" w:lineRule="exact"/>
              <w:rPr>
                <w:sz w:val="20"/>
                <w:szCs w:val="20"/>
                <w:color w:val="auto"/>
              </w:rPr>
            </w:pPr>
            <w:r>
              <w:rPr>
                <w:rFonts w:ascii="Arial" w:cs="Arial" w:eastAsia="Arial" w:hAnsi="Arial"/>
                <w:sz w:val="14"/>
                <w:szCs w:val="14"/>
                <w:color w:val="auto"/>
              </w:rPr>
              <w:t>Accrued expenses and other</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102,815</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23,490</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10,644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cash provided by operating activities</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381,972</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213,608</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286,188</w:t>
            </w:r>
          </w:p>
        </w:tc>
        <w:tc>
          <w:tcPr>
            <w:tcW w:w="0" w:type="dxa"/>
            <w:vAlign w:val="bottom"/>
          </w:tcPr>
          <w:p>
            <w:pPr>
              <w:spacing w:after="0"/>
              <w:rPr>
                <w:sz w:val="1"/>
                <w:szCs w:val="1"/>
                <w:color w:val="auto"/>
              </w:rPr>
            </w:pPr>
          </w:p>
        </w:tc>
      </w:tr>
      <w:tr>
        <w:trPr>
          <w:trHeight w:val="156"/>
        </w:trPr>
        <w:tc>
          <w:tcPr>
            <w:tcW w:w="53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7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Purchases of property and equipment, net</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(174,138)</w:t>
            </w:r>
          </w:p>
        </w:tc>
        <w:tc>
          <w:tcPr>
            <w:tcW w:w="1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(126,250)</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(102,426)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ind w:left="280"/>
              <w:spacing w:after="0" w:line="149" w:lineRule="exact"/>
              <w:rPr>
                <w:sz w:val="20"/>
                <w:szCs w:val="20"/>
                <w:color w:val="auto"/>
              </w:rPr>
            </w:pPr>
            <w:r>
              <w:rPr>
                <w:rFonts w:ascii="Arial" w:cs="Arial" w:eastAsia="Arial" w:hAnsi="Arial"/>
                <w:sz w:val="14"/>
                <w:szCs w:val="14"/>
                <w:color w:val="auto"/>
              </w:rPr>
              <w:t>Acquisitions and consolidation of RL Media, net of cash acquired</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(243,248)</w:t>
            </w:r>
          </w:p>
        </w:tc>
        <w:tc>
          <w:tcPr>
            <w:tcW w:w="100" w:type="dxa"/>
            <w:vAlign w:val="bottom"/>
          </w:tcPr>
          <w:p>
            <w:pPr>
              <w:spacing w:after="0"/>
              <w:rPr>
                <w:sz w:val="12"/>
                <w:szCs w:val="12"/>
                <w:color w:val="auto"/>
              </w:rPr>
            </w:pPr>
          </w:p>
        </w:tc>
        <w:tc>
          <w:tcPr>
            <w:tcW w:w="16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3,839</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(30,326)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Equity interest investments</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(4,548)</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(47,631)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ind w:left="280"/>
              <w:spacing w:after="0" w:line="149" w:lineRule="exact"/>
              <w:rPr>
                <w:sz w:val="20"/>
                <w:szCs w:val="20"/>
                <w:color w:val="auto"/>
              </w:rPr>
            </w:pPr>
            <w:r>
              <w:rPr>
                <w:rFonts w:ascii="Arial" w:cs="Arial" w:eastAsia="Arial" w:hAnsi="Arial"/>
                <w:sz w:val="14"/>
                <w:szCs w:val="14"/>
                <w:color w:val="auto"/>
              </w:rPr>
              <w:t>Purchase of trademark</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(7,500)</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surrender value — officers’ life insurance</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(3,100)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60" w:type="dxa"/>
            <w:vAlign w:val="bottom"/>
          </w:tcPr>
          <w:p>
            <w:pPr>
              <w:ind w:left="860"/>
              <w:spacing w:after="0" w:line="155" w:lineRule="exact"/>
              <w:rPr>
                <w:sz w:val="20"/>
                <w:szCs w:val="20"/>
                <w:color w:val="auto"/>
              </w:rPr>
            </w:pPr>
            <w:r>
              <w:rPr>
                <w:rFonts w:ascii="Arial" w:cs="Arial" w:eastAsia="Arial" w:hAnsi="Arial"/>
                <w:sz w:val="14"/>
                <w:szCs w:val="14"/>
                <w:color w:val="auto"/>
              </w:rPr>
              <w:t>Net cash used in investing activities</w:t>
            </w:r>
          </w:p>
        </w:tc>
        <w:tc>
          <w:tcPr>
            <w:tcW w:w="7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(417,386)</w:t>
            </w:r>
          </w:p>
        </w:tc>
        <w:tc>
          <w:tcPr>
            <w:tcW w:w="6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(134,459)</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(183,483)</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ind w:left="280"/>
              <w:spacing w:after="0" w:line="149" w:lineRule="exact"/>
              <w:rPr>
                <w:sz w:val="20"/>
                <w:szCs w:val="20"/>
                <w:color w:val="auto"/>
              </w:rPr>
            </w:pPr>
            <w:r>
              <w:rPr>
                <w:rFonts w:ascii="Arial" w:cs="Arial" w:eastAsia="Arial" w:hAnsi="Arial"/>
                <w:sz w:val="14"/>
                <w:szCs w:val="14"/>
                <w:color w:val="auto"/>
              </w:rPr>
              <w:t>Payment of dividends</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(21,718)</w:t>
            </w:r>
          </w:p>
        </w:tc>
        <w:tc>
          <w:tcPr>
            <w:tcW w:w="100" w:type="dxa"/>
            <w:vAlign w:val="bottom"/>
          </w:tcPr>
          <w:p>
            <w:pPr>
              <w:spacing w:after="0"/>
              <w:rPr>
                <w:sz w:val="12"/>
                <w:szCs w:val="12"/>
                <w:color w:val="auto"/>
              </w:rPr>
            </w:pPr>
          </w:p>
        </w:tc>
        <w:tc>
          <w:tcPr>
            <w:tcW w:w="16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(14,847)</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Repurchases of common stock</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(1,052)</w:t>
            </w:r>
          </w:p>
        </w:tc>
        <w:tc>
          <w:tcPr>
            <w:tcW w:w="1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(1,047)</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(4,682)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ind w:left="280"/>
              <w:spacing w:after="0" w:line="149" w:lineRule="exact"/>
              <w:rPr>
                <w:sz w:val="20"/>
                <w:szCs w:val="20"/>
                <w:color w:val="auto"/>
              </w:rPr>
            </w:pPr>
            <w:r>
              <w:rPr>
                <w:rFonts w:ascii="Arial" w:cs="Arial" w:eastAsia="Arial" w:hAnsi="Arial"/>
                <w:sz w:val="14"/>
                <w:szCs w:val="14"/>
                <w:color w:val="auto"/>
              </w:rPr>
              <w:t>Proceeds from exercise of stock options</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54,281</w:t>
            </w:r>
          </w:p>
        </w:tc>
        <w:tc>
          <w:tcPr>
            <w:tcW w:w="100" w:type="dxa"/>
            <w:vAlign w:val="bottom"/>
          </w:tcPr>
          <w:p>
            <w:pPr>
              <w:spacing w:after="0"/>
              <w:rPr>
                <w:sz w:val="12"/>
                <w:szCs w:val="12"/>
                <w:color w:val="auto"/>
              </w:rPr>
            </w:pPr>
          </w:p>
        </w:tc>
        <w:tc>
          <w:tcPr>
            <w:tcW w:w="16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40,414</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7,718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short-term borrowings, net</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68,000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ind w:left="280"/>
              <w:spacing w:after="0" w:line="149" w:lineRule="exact"/>
              <w:rPr>
                <w:sz w:val="20"/>
                <w:szCs w:val="20"/>
                <w:color w:val="auto"/>
              </w:rPr>
            </w:pPr>
            <w:r>
              <w:rPr>
                <w:rFonts w:ascii="Arial" w:cs="Arial" w:eastAsia="Arial" w:hAnsi="Arial"/>
                <w:sz w:val="14"/>
                <w:szCs w:val="14"/>
                <w:color w:val="auto"/>
              </w:rPr>
              <w:t>Repayments of long-term debt</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(7,700)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payments of short-term debt</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(100,943)</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(80,000)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60" w:type="dxa"/>
            <w:vAlign w:val="bottom"/>
          </w:tcPr>
          <w:p>
            <w:pPr>
              <w:ind w:left="860"/>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7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31,511</w:t>
            </w:r>
          </w:p>
        </w:tc>
        <w:tc>
          <w:tcPr>
            <w:tcW w:w="6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(76,423)</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(16,664)</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2,053</w:t>
            </w:r>
          </w:p>
        </w:tc>
        <w:tc>
          <w:tcPr>
            <w:tcW w:w="1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6,003</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12,832</w:t>
            </w:r>
          </w:p>
        </w:tc>
        <w:tc>
          <w:tcPr>
            <w:tcW w:w="0" w:type="dxa"/>
            <w:vAlign w:val="bottom"/>
          </w:tcPr>
          <w:p>
            <w:pPr>
              <w:spacing w:after="0"/>
              <w:rPr>
                <w:sz w:val="1"/>
                <w:szCs w:val="1"/>
                <w:color w:val="auto"/>
              </w:rPr>
            </w:pPr>
          </w:p>
        </w:tc>
      </w:tr>
      <w:tr>
        <w:trPr>
          <w:trHeight w:val="156"/>
        </w:trPr>
        <w:tc>
          <w:tcPr>
            <w:tcW w:w="5380" w:type="dxa"/>
            <w:vAlign w:val="bottom"/>
            <w:gridSpan w:val="2"/>
          </w:tcPr>
          <w:p>
            <w:pPr>
              <w:spacing w:after="0" w:line="155" w:lineRule="exact"/>
              <w:rPr>
                <w:sz w:val="20"/>
                <w:szCs w:val="20"/>
                <w:color w:val="auto"/>
              </w:rPr>
            </w:pPr>
            <w:r>
              <w:rPr>
                <w:rFonts w:ascii="Arial" w:cs="Arial" w:eastAsia="Arial" w:hAnsi="Arial"/>
                <w:sz w:val="14"/>
                <w:szCs w:val="14"/>
                <w:color w:val="auto"/>
              </w:rPr>
              <w:t>Net (decrease) increase in cash and cash equivalents</w:t>
            </w:r>
          </w:p>
        </w:tc>
        <w:tc>
          <w:tcPr>
            <w:tcW w:w="7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(1,850)</w:t>
            </w:r>
          </w:p>
        </w:tc>
        <w:tc>
          <w:tcPr>
            <w:tcW w:w="6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8,729</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98,873</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352,335</w:t>
            </w:r>
          </w:p>
        </w:tc>
        <w:tc>
          <w:tcPr>
            <w:tcW w:w="1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343,606</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244,733</w:t>
            </w:r>
          </w:p>
        </w:tc>
        <w:tc>
          <w:tcPr>
            <w:tcW w:w="0" w:type="dxa"/>
            <w:vAlign w:val="bottom"/>
          </w:tcPr>
          <w:p>
            <w:pPr>
              <w:spacing w:after="0"/>
              <w:rPr>
                <w:sz w:val="1"/>
                <w:szCs w:val="1"/>
                <w:color w:val="auto"/>
              </w:rPr>
            </w:pPr>
          </w:p>
        </w:tc>
      </w:tr>
      <w:tr>
        <w:trPr>
          <w:trHeight w:val="156"/>
        </w:trPr>
        <w:tc>
          <w:tcPr>
            <w:tcW w:w="538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7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350,485</w:t>
            </w:r>
          </w:p>
        </w:tc>
        <w:tc>
          <w:tcPr>
            <w:tcW w:w="6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352,335</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343,606</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cash flow information</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ind w:left="280"/>
              <w:spacing w:after="0" w:line="149" w:lineRule="exact"/>
              <w:rPr>
                <w:sz w:val="20"/>
                <w:szCs w:val="20"/>
                <w:color w:val="auto"/>
              </w:rPr>
            </w:pPr>
            <w:r>
              <w:rPr>
                <w:rFonts w:ascii="Arial" w:cs="Arial" w:eastAsia="Arial" w:hAnsi="Arial"/>
                <w:sz w:val="14"/>
                <w:szCs w:val="14"/>
                <w:color w:val="auto"/>
              </w:rPr>
              <w:t>Cash paid for interest</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10,125</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6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10,164</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19,654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paid for income taxes</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107,745</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6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60,810</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65,163</w:t>
            </w:r>
          </w:p>
        </w:tc>
        <w:tc>
          <w:tcPr>
            <w:tcW w:w="0" w:type="dxa"/>
            <w:vAlign w:val="bottom"/>
          </w:tcPr>
          <w:p>
            <w:pPr>
              <w:spacing w:after="0"/>
              <w:rPr>
                <w:sz w:val="1"/>
                <w:szCs w:val="1"/>
                <w:color w:val="auto"/>
              </w:rPr>
            </w:pPr>
          </w:p>
        </w:tc>
      </w:tr>
      <w:tr>
        <w:trPr>
          <w:trHeight w:val="21"/>
        </w:trPr>
        <w:tc>
          <w:tcPr>
            <w:tcW w:w="5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schedule of non-cash investing and financing activities</w:t>
            </w: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538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Fair value of assets acquired, excluding cash</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273,915</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6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38,832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ind w:left="280"/>
              <w:spacing w:after="0" w:line="149" w:lineRule="exact"/>
              <w:rPr>
                <w:sz w:val="20"/>
                <w:szCs w:val="20"/>
                <w:color w:val="auto"/>
              </w:rPr>
            </w:pPr>
            <w:r>
              <w:rPr>
                <w:rFonts w:ascii="Arial" w:cs="Arial" w:eastAsia="Arial" w:hAnsi="Arial"/>
                <w:sz w:val="14"/>
                <w:szCs w:val="14"/>
                <w:color w:val="auto"/>
              </w:rPr>
              <w:t>Less:</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Cash paid</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241,890</w:t>
            </w:r>
          </w:p>
        </w:tc>
        <w:tc>
          <w:tcPr>
            <w:tcW w:w="1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30,326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ind w:left="560"/>
              <w:spacing w:after="0" w:line="149" w:lineRule="exact"/>
              <w:rPr>
                <w:sz w:val="20"/>
                <w:szCs w:val="20"/>
                <w:color w:val="auto"/>
              </w:rPr>
            </w:pPr>
            <w:r>
              <w:rPr>
                <w:rFonts w:ascii="Arial" w:cs="Arial" w:eastAsia="Arial" w:hAnsi="Arial"/>
                <w:sz w:val="14"/>
                <w:szCs w:val="14"/>
                <w:color w:val="auto"/>
              </w:rPr>
              <w:t>Acquisition obligation</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20,000</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Liabilities assumed</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12,025</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6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8,506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where otherwise indicated)</w:t>
      </w:r>
    </w:p>
    <w:p>
      <w:pPr>
        <w:spacing w:after="0" w:line="207"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right="80" w:firstLine="267"/>
        <w:spacing w:after="0" w:line="312" w:lineRule="auto"/>
        <w:rPr>
          <w:sz w:val="20"/>
          <w:szCs w:val="20"/>
          <w:color w:val="auto"/>
        </w:rPr>
      </w:pPr>
      <w:r>
        <w:rPr>
          <w:rFonts w:ascii="Arial" w:cs="Arial" w:eastAsia="Arial" w:hAnsi="Arial"/>
          <w:sz w:val="16"/>
          <w:szCs w:val="16"/>
          <w:color w:val="auto"/>
        </w:rPr>
        <w:t>The consolidated financial statements include the accounts of Polo Ralph Lauren Corporation (“PRLC”) and its wholly and majority owned subsidiaries as well as variable interest entities for which we are the primary beneficiary. All intercompany balances and transactions have been eliminated. PRLC and its subsidiaries are collectively referred to as “the Company,” “we,” “us,” “our” and “ourselves,” unless the content requires otherwise.</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ind w:right="40" w:firstLine="267"/>
        <w:spacing w:after="0" w:line="259" w:lineRule="auto"/>
        <w:rPr>
          <w:sz w:val="20"/>
          <w:szCs w:val="20"/>
          <w:color w:val="auto"/>
        </w:rPr>
      </w:pPr>
      <w:r>
        <w:rPr>
          <w:rFonts w:ascii="Arial" w:cs="Arial" w:eastAsia="Arial" w:hAnsi="Arial"/>
          <w:sz w:val="18"/>
          <w:szCs w:val="18"/>
          <w:color w:val="auto"/>
        </w:rPr>
        <w:t>We design, license, contract for the manufacture of, market and distribute men’s and women’s apparel, accessories, fragrances, skin care products and home furnishings. Our sales are principally to major department and specialty stores located throughout the United States and Europe. We also sell directly to consumers through full-price and outlet Polo Ralph Lauren, Ralph Lauren and Club Monaco stores located throughout the United States, Canada, Europe, South America and Asia and through our retail internet site located at www.polo.com.</w:t>
      </w:r>
    </w:p>
    <w:p>
      <w:pPr>
        <w:spacing w:after="0" w:line="79" w:lineRule="exact"/>
        <w:rPr>
          <w:sz w:val="20"/>
          <w:szCs w:val="20"/>
          <w:color w:val="auto"/>
        </w:rPr>
      </w:pPr>
    </w:p>
    <w:p>
      <w:pPr>
        <w:ind w:firstLine="267"/>
        <w:spacing w:after="0" w:line="272" w:lineRule="auto"/>
        <w:rPr>
          <w:sz w:val="20"/>
          <w:szCs w:val="20"/>
          <w:color w:val="auto"/>
        </w:rPr>
      </w:pPr>
      <w:r>
        <w:rPr>
          <w:rFonts w:ascii="Arial" w:cs="Arial" w:eastAsia="Arial" w:hAnsi="Arial"/>
          <w:sz w:val="17"/>
          <w:szCs w:val="17"/>
          <w:color w:val="auto"/>
        </w:rPr>
        <w:t>We are party to licensing agreements which grant the licensee exclusive rights to use our various trademarks in connection with the manufacture and sale of designated products in specified geographic areas. The license agreements typically provide for designated terms with renewal options based on achievement of specified sales targets. The agreements also require that certain minimum amounts be spent on advertising for licensed products. Additionally, as part of the licensing arrangements, each licensee is typically required to enter into a design services agreement pursuant to which design and other creative services are provided. The license and design services agreements provide for payments based on specified percentages of net sales of licensed products. Additionally, we have granted royalty-free licenses to independent parties to operate Polo stores to promote the sale of our merchandise and our licensees’ merchandise both domestically and internationally.</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Fiscal Year</w:t>
      </w:r>
    </w:p>
    <w:p>
      <w:pPr>
        <w:spacing w:after="0" w:line="117" w:lineRule="exact"/>
        <w:rPr>
          <w:sz w:val="20"/>
          <w:szCs w:val="20"/>
          <w:color w:val="auto"/>
        </w:rPr>
      </w:pPr>
    </w:p>
    <w:p>
      <w:pPr>
        <w:ind w:right="320" w:firstLine="270"/>
        <w:spacing w:after="0" w:line="264" w:lineRule="auto"/>
        <w:rPr>
          <w:sz w:val="20"/>
          <w:szCs w:val="20"/>
          <w:color w:val="auto"/>
        </w:rPr>
      </w:pPr>
      <w:r>
        <w:rPr>
          <w:rFonts w:ascii="Arial" w:cs="Arial" w:eastAsia="Arial" w:hAnsi="Arial"/>
          <w:sz w:val="18"/>
          <w:szCs w:val="18"/>
          <w:color w:val="auto"/>
        </w:rPr>
        <w:t>Our fiscal year ends on the Saturday nearest to March 31. All references to “Fiscal 2005” represent 52-week fiscal year ended April 2, 2005. All references to “Fiscal 2004” represent the 53-week fiscal year ended April 3, 2004 and references to “Fiscal 2003” represent the 52-week fiscal year ended March 29, 2003.</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20" w:firstLine="267"/>
        <w:spacing w:after="0" w:line="291"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certain estimates and assumptions that affect the reported amounts of assets and liabilities and disclosure of contingent assets and liabilities at the date of the financial statements and the reported amounts of revenues and expenses during the reporting period. Estimates by their nature are based on judgements and available information. The estimates that we make are based upon historical factors, current circumstances and the experience and judgement of our management. We evaluate our assumptions and estimates on an ongoing basis and may employ outside experts to assist in our evaluations. Changes in such estimates, based on more accurate future information, may affect amounts reported in future periods. We are not aware of any reasonably likely events or circumstances which would result in different amounts being reported that would materially affect our financial condition or results of operations.</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color w:val="auto"/>
        </w:rPr>
        <w:t>Revenue within the Company’s wholesale operations is recognized at the time title passes and risk of loss is transferred to customers. Wholesale revenue is recorded net of returns, discounts, allowances and operational chargebacks. Returns and allowances require pre-approval from management. Discounts are based on trade terms. Estimates for end-of-season allowances are based on historic trends, seasonal results, an evaluation of current economic conditions and retailer performance. The Company reviews and refines these estimates on a quarterly basis based on current experience, trends and retailer performance. The Company’s historical estimates of these costs have not differed materially from actual results. Retail store revenue is recognized net of estimated returns at the time of sale to consumers. Licensing revenue is initially recorded based upon contractually guaranteed minimum levels and adjusted as actual sales data is received from licensees. During the fiscal years ending April 2, 2005 and April 3, 2004, the Company reduced revenues and credited customer accounts for end of season customer allowances, operational chargebacks and returns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Year Ending</w:t>
            </w: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20" w:type="dxa"/>
            <w:vAlign w:val="bottom"/>
            <w:gridSpan w:val="2"/>
          </w:tcPr>
          <w:p>
            <w:pPr>
              <w:jc w:val="center"/>
              <w:ind w:right="1040"/>
              <w:spacing w:after="0" w:line="133" w:lineRule="exact"/>
              <w:rPr>
                <w:sz w:val="20"/>
                <w:szCs w:val="20"/>
                <w:color w:val="auto"/>
              </w:rPr>
            </w:pPr>
            <w:r>
              <w:rPr>
                <w:rFonts w:ascii="Arial" w:cs="Arial" w:eastAsia="Arial" w:hAnsi="Arial"/>
                <w:sz w:val="14"/>
                <w:szCs w:val="14"/>
                <w:b w:val="1"/>
                <w:bCs w:val="1"/>
                <w:color w:val="auto"/>
                <w:w w:val="96"/>
              </w:rPr>
              <w:t>April 2,</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right"/>
              <w:ind w:right="275"/>
              <w:spacing w:after="0" w:line="133" w:lineRule="exact"/>
              <w:rPr>
                <w:sz w:val="20"/>
                <w:szCs w:val="20"/>
                <w:color w:val="auto"/>
              </w:rPr>
            </w:pPr>
            <w:r>
              <w:rPr>
                <w:rFonts w:ascii="Arial" w:cs="Arial" w:eastAsia="Arial" w:hAnsi="Arial"/>
                <w:sz w:val="14"/>
                <w:szCs w:val="14"/>
                <w:b w:val="1"/>
                <w:bCs w:val="1"/>
                <w:color w:val="auto"/>
              </w:rPr>
              <w:t>April 3,</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2005</w:t>
            </w: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Beginning reserve balance</w:t>
            </w:r>
          </w:p>
        </w:tc>
        <w:tc>
          <w:tcPr>
            <w:tcW w:w="2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90,269</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Amount expensed</w:t>
            </w: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right"/>
              <w:ind w:right="800"/>
              <w:spacing w:after="0"/>
              <w:rPr>
                <w:sz w:val="20"/>
                <w:szCs w:val="20"/>
                <w:color w:val="auto"/>
              </w:rPr>
            </w:pPr>
            <w:r>
              <w:rPr>
                <w:rFonts w:ascii="Arial" w:cs="Arial" w:eastAsia="Arial" w:hAnsi="Arial"/>
                <w:sz w:val="18"/>
                <w:szCs w:val="18"/>
                <w:color w:val="auto"/>
              </w:rPr>
              <w:t>265,340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213,645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Amount credited against customer accounts</w:t>
            </w:r>
          </w:p>
        </w:tc>
        <w:tc>
          <w:tcPr>
            <w:tcW w:w="2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(256,730)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(171,808)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right"/>
              <w:ind w:right="800"/>
              <w:spacing w:after="0"/>
              <w:rPr>
                <w:sz w:val="20"/>
                <w:szCs w:val="20"/>
                <w:color w:val="auto"/>
              </w:rPr>
            </w:pPr>
            <w:r>
              <w:rPr>
                <w:rFonts w:ascii="Arial" w:cs="Arial" w:eastAsia="Arial" w:hAnsi="Arial"/>
                <w:sz w:val="18"/>
                <w:szCs w:val="18"/>
                <w:color w:val="auto"/>
              </w:rPr>
              <w:t>1,122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Ending reserve balance</w:t>
            </w:r>
          </w:p>
        </w:tc>
        <w:tc>
          <w:tcPr>
            <w:tcW w:w="2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100,001</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90,269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270"/>
        <w:spacing w:after="0" w:line="290" w:lineRule="auto"/>
        <w:rPr>
          <w:sz w:val="20"/>
          <w:szCs w:val="20"/>
          <w:color w:val="auto"/>
        </w:rPr>
      </w:pPr>
      <w:r>
        <w:rPr>
          <w:rFonts w:ascii="Arial" w:cs="Arial" w:eastAsia="Arial" w:hAnsi="Arial"/>
          <w:sz w:val="16"/>
          <w:szCs w:val="16"/>
          <w:color w:val="auto"/>
        </w:rPr>
        <w:t>Income taxes are accounted for under Statement of Financial Accounting Standards (“SFAS”) No. 109, “Accounting for Income Taxes.” In accordance with SFAS No. 109, deferred tax assets and liabilities are recognized for the future tax consequences attributable to differences between the financial statement carrying amounts of existing assets and liabilities and their respective tax bases, as measured by statutory tax rates that are expected to be in effect in the periods when the deferred tax assets and liabilities are expected to be settled or realized. Significant judgement is required in determining the worldwide provisions for income taxes. In the ordinary course of a global business, there are many transactions for which the ultimate tax outcome is uncertain. It is the Company’s policy to establish provisions for taxes that may become payable in future years as a result of an examination by tax authorities. The Company establishes the provisions based upon management’s assessment of exposure associated with permanent tax differences and tax credits. The tax provisions are analyzed periodically and adjustments are made as events occur that warrant adjustments to those provisions.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17" w:lineRule="exact"/>
        <w:rPr>
          <w:sz w:val="20"/>
          <w:szCs w:val="20"/>
          <w:color w:val="auto"/>
        </w:rPr>
      </w:pPr>
    </w:p>
    <w:p>
      <w:pPr>
        <w:ind w:right="140" w:firstLine="270"/>
        <w:spacing w:after="0" w:line="277" w:lineRule="auto"/>
        <w:rPr>
          <w:sz w:val="20"/>
          <w:szCs w:val="20"/>
          <w:color w:val="auto"/>
        </w:rPr>
      </w:pPr>
      <w:r>
        <w:rPr>
          <w:rFonts w:ascii="Arial" w:cs="Arial" w:eastAsia="Arial" w:hAnsi="Arial"/>
          <w:sz w:val="18"/>
          <w:szCs w:val="18"/>
          <w:color w:val="auto"/>
        </w:rPr>
        <w:t>In the normal course of business, the Company extends credit to its wholesale customers that satisfy pre-defined credit criteria. Accounts receivable, net, as shown on the Consolidated Balance Sheets, is net of the following allowances and reserves.</w:t>
      </w:r>
    </w:p>
    <w:p>
      <w:pPr>
        <w:spacing w:after="0" w:line="62" w:lineRule="exact"/>
        <w:rPr>
          <w:sz w:val="20"/>
          <w:szCs w:val="20"/>
          <w:color w:val="auto"/>
        </w:rPr>
      </w:pPr>
    </w:p>
    <w:p>
      <w:pPr>
        <w:ind w:right="40" w:firstLine="260"/>
        <w:spacing w:after="0" w:line="302" w:lineRule="auto"/>
        <w:rPr>
          <w:sz w:val="20"/>
          <w:szCs w:val="20"/>
          <w:color w:val="auto"/>
        </w:rPr>
      </w:pPr>
      <w:r>
        <w:rPr>
          <w:rFonts w:ascii="Arial" w:cs="Arial" w:eastAsia="Arial" w:hAnsi="Arial"/>
          <w:sz w:val="16"/>
          <w:szCs w:val="16"/>
          <w:color w:val="auto"/>
        </w:rPr>
        <w:t>An allowance for doubtful accounts is determined through analysis of the aging of accounts receivable at the date of the consolidated financial statements, assessments of collectibility based on an evaluation of historic and anticipated trends, the financial condition of the Company’s customers, and an evaluation of the impact of economic conditions. Expenses of $6.0 million were recorded as an allowance for uncollectible accounts during Fiscal 2005. The amounts written off against customer accounts during Fiscal 2005 totaled $2.1 million, and the balance in this reserve was $11.0 million as of April 2, 2005.</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60" w:firstLine="260"/>
        <w:spacing w:after="0" w:line="277" w:lineRule="auto"/>
        <w:rPr>
          <w:sz w:val="20"/>
          <w:szCs w:val="20"/>
          <w:color w:val="auto"/>
        </w:rPr>
      </w:pPr>
      <w:r>
        <w:rPr>
          <w:rFonts w:ascii="Arial" w:cs="Arial" w:eastAsia="Arial" w:hAnsi="Arial"/>
          <w:sz w:val="18"/>
          <w:szCs w:val="18"/>
          <w:color w:val="auto"/>
        </w:rPr>
        <w:t>A reserve for trade discounts is established based on open invoices where trade discounts have been extended to customers and is treated as a reduction of sales.</w:t>
      </w:r>
    </w:p>
    <w:p>
      <w:pPr>
        <w:spacing w:after="0" w:line="62" w:lineRule="exact"/>
        <w:rPr>
          <w:sz w:val="20"/>
          <w:szCs w:val="20"/>
          <w:color w:val="auto"/>
        </w:rPr>
      </w:pPr>
    </w:p>
    <w:p>
      <w:pPr>
        <w:ind w:right="220" w:firstLine="270"/>
        <w:spacing w:after="0" w:line="312" w:lineRule="auto"/>
        <w:rPr>
          <w:sz w:val="20"/>
          <w:szCs w:val="20"/>
          <w:color w:val="auto"/>
        </w:rPr>
      </w:pPr>
      <w:r>
        <w:rPr>
          <w:rFonts w:ascii="Arial" w:cs="Arial" w:eastAsia="Arial" w:hAnsi="Arial"/>
          <w:sz w:val="16"/>
          <w:szCs w:val="16"/>
          <w:color w:val="auto"/>
        </w:rPr>
        <w:t>Estimated customer end of season allowances (also referred to as customer markdowns) are included as a reduction of sales. These provisions are based on retail sales performance, seasonal negotiations with the Company’s customers as well as historic deduction trends and an evaluation of current market conditions. Our historical estimates of these costs have not differed materially from actual results. (See Revenue Recognition above)</w:t>
      </w:r>
    </w:p>
    <w:p>
      <w:pPr>
        <w:spacing w:after="0" w:line="39" w:lineRule="exact"/>
        <w:rPr>
          <w:sz w:val="20"/>
          <w:szCs w:val="20"/>
          <w:color w:val="auto"/>
        </w:rPr>
      </w:pPr>
    </w:p>
    <w:p>
      <w:pPr>
        <w:ind w:right="20" w:firstLine="260"/>
        <w:spacing w:after="0" w:line="286" w:lineRule="auto"/>
        <w:rPr>
          <w:sz w:val="20"/>
          <w:szCs w:val="20"/>
          <w:color w:val="auto"/>
        </w:rPr>
      </w:pPr>
      <w:r>
        <w:rPr>
          <w:rFonts w:ascii="Arial" w:cs="Arial" w:eastAsia="Arial" w:hAnsi="Arial"/>
          <w:sz w:val="17"/>
          <w:szCs w:val="17"/>
          <w:color w:val="auto"/>
        </w:rPr>
        <w:t>A reserve for operational chargebacks represents various deductions by customers relating to individual shipments. This reserve, net of expected recoveries, is included as a reduction of sales. The reserve is based on chargebacks received as of the date of the financial statements and past experience. Our historical estimates of these costs have not differed materially from actual results. (See Revenue Recognition above)</w:t>
      </w:r>
    </w:p>
    <w:p>
      <w:pPr>
        <w:spacing w:after="0" w:line="57" w:lineRule="exact"/>
        <w:rPr>
          <w:sz w:val="20"/>
          <w:szCs w:val="20"/>
          <w:color w:val="auto"/>
        </w:rPr>
      </w:pPr>
    </w:p>
    <w:p>
      <w:pPr>
        <w:ind w:right="260" w:firstLine="270"/>
        <w:spacing w:after="0" w:line="264" w:lineRule="auto"/>
        <w:rPr>
          <w:sz w:val="20"/>
          <w:szCs w:val="20"/>
          <w:color w:val="auto"/>
        </w:rPr>
      </w:pPr>
      <w:r>
        <w:rPr>
          <w:rFonts w:ascii="Arial" w:cs="Arial" w:eastAsia="Arial" w:hAnsi="Arial"/>
          <w:sz w:val="18"/>
          <w:szCs w:val="18"/>
          <w:color w:val="auto"/>
        </w:rPr>
        <w:t>Costs associated with potential returns of products are included as a reduction of sales. These reserves are based on current information regarding retail performance, historical experience and an evaluation of current market conditions. The Company’s historical estimates of these costs have not differed materially from actual results. (See Revenue Recognition above)</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color w:val="auto"/>
        </w:rPr>
        <w:t>Inventories, net are stated at lower of cost (using the first-in-first-out method, “FIFO”) or market. The Company continually evaluates the composition of its inventories assessing slow-turning, ongoing product as well as all fashion product. Market value of distressed inventory is determined based on historical sales trends for this category of inventory of the Company’s individual product lines, the impact of market trends and economic conditions, and the value of current orders in-house relating to the future sales of this type of inventory. Estimates may differ from actual results due to quantity, quality and mix of products in inventory, consumer and retailer preferences and market conditions. The Company’s historical estimates of these costs and its provisions have not differed materially from actual results.</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Goodwill, Other Intangibles, Net and Long-Lived Assets</w:t>
      </w:r>
    </w:p>
    <w:p>
      <w:pPr>
        <w:spacing w:after="0" w:line="117" w:lineRule="exact"/>
        <w:rPr>
          <w:sz w:val="20"/>
          <w:szCs w:val="20"/>
          <w:color w:val="auto"/>
        </w:rPr>
      </w:pPr>
    </w:p>
    <w:p>
      <w:pPr>
        <w:ind w:right="20" w:firstLine="270"/>
        <w:spacing w:after="0" w:line="257" w:lineRule="auto"/>
        <w:rPr>
          <w:sz w:val="20"/>
          <w:szCs w:val="20"/>
          <w:color w:val="auto"/>
        </w:rPr>
      </w:pPr>
      <w:r>
        <w:rPr>
          <w:rFonts w:ascii="Arial" w:cs="Arial" w:eastAsia="Arial" w:hAnsi="Arial"/>
          <w:sz w:val="18"/>
          <w:szCs w:val="18"/>
          <w:color w:val="auto"/>
        </w:rPr>
        <w:t>SFAS No. 142, “Goodwill and Other Intangible Assets,” requires that goodwill and intangible assets with indefinite lives no longer be amortized, but rather be tested, at least annually, for impairment. This pronouncement also requires that intangible assets with finite lives be amortized over their respective lives to their estimated residual values, and reviewed for impairment in accordance with SFAS No. 144, “Accounting for the Impairment or Disposal of Long-Lived Assets.” During fiscal 2005, there have been no material impairment losses recorded in connection with the assessment of the carrying value of intangible assets.</w:t>
      </w:r>
    </w:p>
    <w:p>
      <w:pPr>
        <w:spacing w:after="0" w:line="80" w:lineRule="exact"/>
        <w:rPr>
          <w:sz w:val="20"/>
          <w:szCs w:val="20"/>
          <w:color w:val="auto"/>
        </w:rPr>
      </w:pPr>
    </w:p>
    <w:p>
      <w:pPr>
        <w:ind w:firstLine="267"/>
        <w:spacing w:after="0" w:line="255" w:lineRule="auto"/>
        <w:rPr>
          <w:sz w:val="20"/>
          <w:szCs w:val="20"/>
          <w:color w:val="auto"/>
        </w:rPr>
      </w:pPr>
      <w:r>
        <w:rPr>
          <w:rFonts w:ascii="Arial" w:cs="Arial" w:eastAsia="Arial" w:hAnsi="Arial"/>
          <w:sz w:val="18"/>
          <w:szCs w:val="18"/>
          <w:color w:val="auto"/>
        </w:rPr>
        <w:t>The recoverability of the carrying values of all long-lived assets with definite lives is reevaluated when changes in circumstances indicate the assets’ value may be impaired. In evaluating an asset for recoverability, the Company estimates the future cash flows expected to result from the use of the asset and eventual disposition. If sum of the expected future cash flows is less than the carrying amount of the asset, an impairment loss, equal to the excess of the carrying amount over the fair value of the asset, is recognized. In determining the future cash flows the Company takes various factors into account, including changes in merchandising strategy, the impact of more experienced store managers, the impact of increased local advertising and the emphasis on store cost controls. Since the determination of future cash flows is an estimate of future performance, there may be future impairments in the event the future cash flow does not meet expectations.</w:t>
      </w:r>
    </w:p>
    <w:p>
      <w:pPr>
        <w:spacing w:after="0" w:line="81"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During the year ended April 2, 2005, the Company recorded a $1.3 million impairment charge related to the fixed assets at three retail locations.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Inflation</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rate of inflation over the past few years has not had a significant impact on our sales or profitability.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Cash and cash equivalents include all highly liquid investments with an original maturity of three months or less, including investments in debt securities. Our investments in debt securities are diversified among high-credit quality securities in accordance with our risk management policy and primarily include commercial paper and money market funds.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Property and equipment, net is stated at cost less accumulated depreciation and amortization. Buildings and building improvements are depreciated using the straight-line method over 37.5 years. Machinery and equipment, and furniture and fixtures are depreciated using the straight-line method over their estimated useful lives of three to ten years. Leasehold improvements are amortized over the shorter of the remaining lease term or the estimated useful lives of the assets.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Officers’ Life Insurance</w:t>
      </w:r>
    </w:p>
    <w:p>
      <w:pPr>
        <w:spacing w:after="0" w:line="117" w:lineRule="exact"/>
        <w:rPr>
          <w:sz w:val="20"/>
          <w:szCs w:val="20"/>
          <w:color w:val="auto"/>
        </w:rPr>
      </w:pPr>
    </w:p>
    <w:p>
      <w:pPr>
        <w:ind w:right="120" w:firstLine="267"/>
        <w:spacing w:after="0" w:line="259" w:lineRule="auto"/>
        <w:rPr>
          <w:sz w:val="20"/>
          <w:szCs w:val="20"/>
          <w:color w:val="auto"/>
        </w:rPr>
      </w:pPr>
      <w:r>
        <w:rPr>
          <w:rFonts w:ascii="Arial" w:cs="Arial" w:eastAsia="Arial" w:hAnsi="Arial"/>
          <w:sz w:val="18"/>
          <w:szCs w:val="18"/>
          <w:color w:val="auto"/>
        </w:rPr>
        <w:t>We maintain whole life insurance policies on several of our senior executives. These policies are recorded at their cash surrender value. Additionally we have policies with split dollar arrangements which are recorded at the lesser of their cash surrender value or premiums paid. Amounts recorded under both types of policies aggregated $51.2 million and $50.2 million at April 2, 2005 and April 3, 2004, respectively, and are included in other assets in the accompanying consolidated balance sheets.</w:t>
      </w:r>
    </w:p>
    <w:p>
      <w:pPr>
        <w:spacing w:after="0" w:line="79" w:lineRule="exact"/>
        <w:rPr>
          <w:sz w:val="20"/>
          <w:szCs w:val="20"/>
          <w:color w:val="auto"/>
        </w:rPr>
      </w:pPr>
    </w:p>
    <w:p>
      <w:pPr>
        <w:ind w:right="260" w:firstLine="270"/>
        <w:spacing w:after="0" w:line="264" w:lineRule="auto"/>
        <w:rPr>
          <w:sz w:val="20"/>
          <w:szCs w:val="20"/>
          <w:color w:val="auto"/>
        </w:rPr>
      </w:pPr>
      <w:r>
        <w:rPr>
          <w:rFonts w:ascii="Arial" w:cs="Arial" w:eastAsia="Arial" w:hAnsi="Arial"/>
          <w:sz w:val="18"/>
          <w:szCs w:val="18"/>
          <w:color w:val="auto"/>
        </w:rPr>
        <w:t>During Fiscal 2003, the Company ceased paying premiums on split dollar life insurance policies related to officers and terminated certain split dollar arrangements. As of April 2, 2005, $2.1 million of split dollar policies had either been surrendered to the insurance company for cash or bought out by the related employee.</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Deferred Rent Obligations</w:t>
      </w:r>
    </w:p>
    <w:p>
      <w:pPr>
        <w:spacing w:after="0" w:line="117" w:lineRule="exact"/>
        <w:rPr>
          <w:sz w:val="20"/>
          <w:szCs w:val="20"/>
          <w:color w:val="auto"/>
        </w:rPr>
      </w:pPr>
    </w:p>
    <w:p>
      <w:pPr>
        <w:ind w:right="20" w:firstLine="267"/>
        <w:spacing w:after="0" w:line="279" w:lineRule="auto"/>
        <w:rPr>
          <w:sz w:val="20"/>
          <w:szCs w:val="20"/>
          <w:color w:val="auto"/>
        </w:rPr>
      </w:pPr>
      <w:r>
        <w:rPr>
          <w:rFonts w:ascii="Arial" w:cs="Arial" w:eastAsia="Arial" w:hAnsi="Arial"/>
          <w:sz w:val="17"/>
          <w:szCs w:val="17"/>
          <w:color w:val="auto"/>
        </w:rPr>
        <w:t>We account for rent expense under noncancelable operating leases with scheduled rent increases and landlord incentives on a straight-line basis over the lease term beginning with the effective lease commencement date. The excess of straight-line rent expense over scheduled payment amounts and landlord incentives is recorded as a deferred liability. Unamortized deferred rent obligations amounted to $74.1 million and $66.0 million at April 2, 2005 and April 3, 2004, respectively, and are included Other noncurrent liabilities in the accompanying consolidated balance sheets.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 Comprehensive Income</w:t>
      </w:r>
    </w:p>
    <w:p>
      <w:pPr>
        <w:spacing w:after="0" w:line="117"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Other comprehensive income is recorded net of taxes and is reflected in the consolidated statements of stockholders’ equity. Other comprehensive income consists of unrealized gains or losses on hedges and foreign currency translation adjustments.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17"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From time to time, we use derivative financial instruments to reduce our exposure to changes in foreign exchange and interest rates. While these instruments are subject to risk of loss from changes in exchange or interest rates, those losses generally would be offset by gains on the related exposure. The accounting for changes in the fair value of a derivative is dependent upon the intended use of the derivative. SFAS No. 133, “Accounting for Derivative Instruments and Hedging Activities, as Amended and Interpreted,” requires that</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every derivative instrument (including certain derivative instruments embedded in other contracts) be recorded in the balance sheet as either an asset or liability measured at its fair value. The statement also requires that changes in the derivative’s fair value be recognized currently in earnings in either income (loss) from continuing operations or accumulated other comprehensive income (loss), depending on the timing and designated purpose of the derivative.</w:t>
      </w:r>
    </w:p>
    <w:p>
      <w:pPr>
        <w:spacing w:after="0" w:line="39" w:lineRule="exact"/>
        <w:rPr>
          <w:sz w:val="20"/>
          <w:szCs w:val="20"/>
          <w:color w:val="auto"/>
        </w:rPr>
      </w:pPr>
    </w:p>
    <w:p>
      <w:pPr>
        <w:ind w:right="160" w:firstLine="270"/>
        <w:spacing w:after="0" w:line="259" w:lineRule="auto"/>
        <w:rPr>
          <w:sz w:val="20"/>
          <w:szCs w:val="20"/>
          <w:color w:val="auto"/>
        </w:rPr>
      </w:pPr>
      <w:r>
        <w:rPr>
          <w:rFonts w:ascii="Arial" w:cs="Arial" w:eastAsia="Arial" w:hAnsi="Arial"/>
          <w:sz w:val="18"/>
          <w:szCs w:val="18"/>
          <w:color w:val="auto"/>
        </w:rPr>
        <w:t>Note 13 further describes the derivative instruments we are party to and the related accounting treatment. Historically, we have entered into interest rate swap agreements and forward foreign exchange contracts, which qualify as cash flow hedges under SFAS No. 133. We have also designated the entire balance of our Euro debt as a hedge of our net investment in a foreign subsidiary. During Fiscal 2005, we have entered into various forward exchange contracts that qualified as hedges on inventory purchases and royalty payments.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Foreign Currency Transactions and Translations</w:t>
      </w:r>
    </w:p>
    <w:p>
      <w:pPr>
        <w:spacing w:after="0" w:line="117" w:lineRule="exact"/>
        <w:rPr>
          <w:sz w:val="20"/>
          <w:szCs w:val="20"/>
          <w:color w:val="auto"/>
        </w:rPr>
      </w:pPr>
    </w:p>
    <w:p>
      <w:pPr>
        <w:ind w:right="40" w:firstLine="267"/>
        <w:spacing w:after="0" w:line="270" w:lineRule="auto"/>
        <w:rPr>
          <w:sz w:val="20"/>
          <w:szCs w:val="20"/>
          <w:color w:val="auto"/>
        </w:rPr>
      </w:pPr>
      <w:r>
        <w:rPr>
          <w:rFonts w:ascii="Arial" w:cs="Arial" w:eastAsia="Arial" w:hAnsi="Arial"/>
          <w:sz w:val="17"/>
          <w:szCs w:val="17"/>
          <w:color w:val="auto"/>
        </w:rPr>
        <w:t>The financial position and results of operations of our foreign subsidiaries are measured using the Euro in our European operations and Yen in our Japanese operations as the functional currencies. Assets and liabilities are translated at the exchange rate in effect at each year end. Results of operations are translated at the average rate of exchange prevailing throughout the period. Translation adjustments arising from differences in exchange rates from period to period are included in other comprehensive income, net of taxes, except for certain foreign-denominated debt. Gains and losses on translation of intercompany loans with foreign subsidiaries of a long-term investment nature are also included in this component of stockholders’ equity. We have designated our Euro debt as a hedge of our net investment in a foreign subsidiary. Prior to fully designating our Euro debt as a hedge, transaction gains or losses resulting from changes in the Eurodollar rate were recorded in income and amounted to $3.2 million in Fiscal 2003. The gain on the Japanese Yen forward contracts, that did not qualify for hedge accounting, amounted to $2.4 million in Fiscal 2003. Gains and losses from other foreign currency transactions are separately identified in the consolidated statements of income.</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Cost of Goods Sold and Selling Expenses</w:t>
      </w:r>
    </w:p>
    <w:p>
      <w:pPr>
        <w:spacing w:after="0" w:line="117" w:lineRule="exact"/>
        <w:rPr>
          <w:sz w:val="20"/>
          <w:szCs w:val="20"/>
          <w:color w:val="auto"/>
        </w:rPr>
      </w:pPr>
    </w:p>
    <w:p>
      <w:pPr>
        <w:ind w:right="180" w:firstLine="270"/>
        <w:spacing w:after="0" w:line="286" w:lineRule="auto"/>
        <w:rPr>
          <w:sz w:val="20"/>
          <w:szCs w:val="20"/>
          <w:color w:val="auto"/>
        </w:rPr>
      </w:pPr>
      <w:r>
        <w:rPr>
          <w:rFonts w:ascii="Arial" w:cs="Arial" w:eastAsia="Arial" w:hAnsi="Arial"/>
          <w:sz w:val="17"/>
          <w:szCs w:val="17"/>
          <w:color w:val="auto"/>
        </w:rPr>
        <w:t>Cost of goods sold includes the expenses incurred to acquire and produce inventory for sale, including product costs, freight-in, import costs, as well as reserves for shrinkage and inventory obsolescence. The costs of selling the merchandise, including preparing the merchandise for sale, such as picking, packing, warehousing and order charges, are included in selling, general and administrative expenses (“SG&amp;A”).</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17" w:lineRule="exact"/>
        <w:rPr>
          <w:sz w:val="20"/>
          <w:szCs w:val="20"/>
          <w:color w:val="auto"/>
        </w:rPr>
      </w:pPr>
    </w:p>
    <w:p>
      <w:pPr>
        <w:ind w:right="40" w:firstLine="267"/>
        <w:spacing w:after="0" w:line="259" w:lineRule="auto"/>
        <w:rPr>
          <w:sz w:val="20"/>
          <w:szCs w:val="20"/>
          <w:color w:val="auto"/>
        </w:rPr>
      </w:pPr>
      <w:r>
        <w:rPr>
          <w:rFonts w:ascii="Arial" w:cs="Arial" w:eastAsia="Arial" w:hAnsi="Arial"/>
          <w:sz w:val="18"/>
          <w:szCs w:val="18"/>
          <w:color w:val="auto"/>
        </w:rPr>
        <w:t>We reflect shipping and handling costs incurred as a component of SG&amp;A expenses in the consolidated statements of income. The shipping and handling costs incurred approximated $69.6 million, $61.0 million and $59.9 million in Fiscal 2005, Fiscal 2004 and Fiscal 2003, respectively. As a percent of revenues, they represented 2.1%, 2.6% and 2.7% in Fiscal 2005, Fiscal 2004 and Fiscal 2003, respectively. We bill our wholesale customers for shipping and handling costs and record such revenues in net sales upon shipment.</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ind w:firstLine="267"/>
        <w:spacing w:after="0" w:line="259" w:lineRule="auto"/>
        <w:rPr>
          <w:sz w:val="20"/>
          <w:szCs w:val="20"/>
          <w:color w:val="auto"/>
        </w:rPr>
      </w:pPr>
      <w:r>
        <w:rPr>
          <w:rFonts w:ascii="Arial" w:cs="Arial" w:eastAsia="Arial" w:hAnsi="Arial"/>
          <w:sz w:val="18"/>
          <w:szCs w:val="18"/>
          <w:color w:val="auto"/>
        </w:rPr>
        <w:t>We expense the production costs of advertising, marketing and public relations expenses upon the first showing of the related advertisement. We expense the costs of advertising paid to customers under cooperative advertising programs when the related advertisements are run. Total advertising expenses, including cooperative advertising, included within SG&amp;A expenses amounted to $126.6 million, $112.3 million and $92.8 million in Fiscal 2005, Fiscal 2004 and Fiscal 2003, respectively.</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117"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Basic net income per share was calculated by dividing net income by the weighted-average number of shares outstanding during the period, excluding any potential dilution. Diluted net income per share was calculated similarly but includes potential dilution from the exercise of stock options and awards. The difference between the basic and diluted weighted-average shares outstanding is due to the dilutive effect of stock options, restricted stock units and restricted stock awards issued under our stock option plans.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220" w:firstLine="267"/>
        <w:spacing w:after="0" w:line="273" w:lineRule="auto"/>
        <w:rPr>
          <w:sz w:val="20"/>
          <w:szCs w:val="20"/>
          <w:color w:val="auto"/>
        </w:rPr>
      </w:pPr>
      <w:r>
        <w:rPr>
          <w:rFonts w:ascii="Arial" w:cs="Arial" w:eastAsia="Arial" w:hAnsi="Arial"/>
          <w:sz w:val="17"/>
          <w:szCs w:val="17"/>
          <w:color w:val="auto"/>
        </w:rPr>
        <w:t>We use the intrinsic value method to account for stock-based compensation in accordance with Accounting Principles Board (“APB”) Opinion No. 25, “Accounting for Stock Issued to Employees,” and have adopted the disclosure-only provisions of SFAS No. 123, “Accounting for Stock-Based Compensation,” as amended by SFAS No. 148, “Accounting for Stock-Based Compensation — Transition and Disclosure.” Accordingly, no compensation cost has been recognized for fixed stock option grants. Had compensation costs for the Company’s stock option grants been determined based on the fair value at the grant dates for awards under these plans in accordance with SFAS No. 123, the Company’s net income and earnings per share would have been reduced to the proforma amounts as follows (Dollars in thousands, except per share data):</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Fiscal Year Ended</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April 2,</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April 3,</w:t>
            </w:r>
          </w:p>
        </w:tc>
        <w:tc>
          <w:tcPr>
            <w:tcW w:w="160" w:type="dxa"/>
            <w:vAlign w:val="bottom"/>
          </w:tcPr>
          <w:p>
            <w:pPr>
              <w:spacing w:after="0"/>
              <w:rPr>
                <w:sz w:val="11"/>
                <w:szCs w:val="11"/>
                <w:color w:val="auto"/>
              </w:rPr>
            </w:pPr>
          </w:p>
        </w:tc>
        <w:tc>
          <w:tcPr>
            <w:tcW w:w="940" w:type="dxa"/>
            <w:vAlign w:val="bottom"/>
          </w:tcPr>
          <w:p>
            <w:pPr>
              <w:jc w:val="right"/>
              <w:ind w:right="154"/>
              <w:spacing w:after="0" w:line="133" w:lineRule="exact"/>
              <w:rPr>
                <w:sz w:val="20"/>
                <w:szCs w:val="20"/>
                <w:color w:val="auto"/>
              </w:rPr>
            </w:pPr>
            <w:r>
              <w:rPr>
                <w:rFonts w:ascii="Arial" w:cs="Arial" w:eastAsia="Arial" w:hAnsi="Arial"/>
                <w:sz w:val="14"/>
                <w:szCs w:val="14"/>
                <w:b w:val="1"/>
                <w:bCs w:val="1"/>
                <w:color w:val="auto"/>
              </w:rPr>
              <w:t>March 29,</w:t>
            </w:r>
          </w:p>
        </w:tc>
        <w:tc>
          <w:tcPr>
            <w:tcW w:w="500" w:type="dxa"/>
            <w:vAlign w:val="bottom"/>
          </w:tcPr>
          <w:p>
            <w:pPr>
              <w:spacing w:after="0"/>
              <w:rPr>
                <w:sz w:val="11"/>
                <w:szCs w:val="11"/>
                <w:color w:val="auto"/>
              </w:rPr>
            </w:pPr>
          </w:p>
        </w:tc>
      </w:tr>
      <w:tr>
        <w:trPr>
          <w:trHeight w:val="178"/>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2004</w:t>
            </w:r>
          </w:p>
        </w:tc>
        <w:tc>
          <w:tcPr>
            <w:tcW w:w="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190,425</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169,229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175,683</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Add: Stock-based compensation expense included in net income, net of tax</w:t>
            </w:r>
          </w:p>
        </w:tc>
        <w:tc>
          <w:tcPr>
            <w:tcW w:w="2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8,160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2,580</w:t>
            </w:r>
          </w:p>
        </w:tc>
        <w:tc>
          <w:tcPr>
            <w:tcW w:w="16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969</w:t>
            </w:r>
          </w:p>
        </w:tc>
      </w:tr>
      <w:tr>
        <w:trPr>
          <w:trHeight w:val="202"/>
        </w:trPr>
        <w:tc>
          <w:tcPr>
            <w:tcW w:w="20" w:type="dxa"/>
            <w:vAlign w:val="bottom"/>
          </w:tcPr>
          <w:p>
            <w:pPr>
              <w:spacing w:after="0"/>
              <w:rPr>
                <w:sz w:val="17"/>
                <w:szCs w:val="17"/>
                <w:color w:val="auto"/>
              </w:rPr>
            </w:pPr>
          </w:p>
        </w:tc>
        <w:tc>
          <w:tcPr>
            <w:tcW w:w="6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Deduct: Total stock-based employee compensation expense determined under fair</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value based method for all awards, net of tax</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21,821</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19,156</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17,957</w:t>
            </w: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color w:val="auto"/>
              </w:rPr>
              <w:t>Pro forma net income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176,764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152,653</w:t>
            </w: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158,695</w:t>
            </w:r>
          </w:p>
        </w:tc>
        <w:tc>
          <w:tcPr>
            <w:tcW w:w="50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as reported —</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1.88</w:t>
            </w: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1.71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1.79</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1.77</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Pro forma net income per share —</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1.74</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1.61</w:t>
            </w:r>
          </w:p>
        </w:tc>
      </w:tr>
      <w:tr>
        <w:trPr>
          <w:trHeight w:val="230"/>
        </w:trPr>
        <w:tc>
          <w:tcPr>
            <w:tcW w:w="20" w:type="dxa"/>
            <w:vAlign w:val="bottom"/>
          </w:tcPr>
          <w:p>
            <w:pPr>
              <w:spacing w:after="0"/>
              <w:rPr>
                <w:sz w:val="20"/>
                <w:szCs w:val="20"/>
                <w:color w:val="auto"/>
              </w:rPr>
            </w:pPr>
          </w:p>
        </w:tc>
        <w:tc>
          <w:tcPr>
            <w:tcW w:w="6240" w:type="dxa"/>
            <w:vAlign w:val="bottom"/>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1.70</w:t>
            </w: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1.51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1.60</w:t>
            </w:r>
          </w:p>
        </w:tc>
      </w:tr>
    </w:tbl>
    <w:p>
      <w:pPr>
        <w:spacing w:after="0" w:line="79" w:lineRule="exact"/>
        <w:rPr>
          <w:sz w:val="20"/>
          <w:szCs w:val="20"/>
          <w:color w:val="auto"/>
        </w:rPr>
      </w:pPr>
    </w:p>
    <w:p>
      <w:pPr>
        <w:ind w:right="100" w:firstLine="267"/>
        <w:spacing w:after="0" w:line="264" w:lineRule="auto"/>
        <w:rPr>
          <w:sz w:val="20"/>
          <w:szCs w:val="20"/>
          <w:color w:val="auto"/>
        </w:rPr>
      </w:pPr>
      <w:r>
        <w:rPr>
          <w:rFonts w:ascii="Arial" w:cs="Arial" w:eastAsia="Arial" w:hAnsi="Arial"/>
          <w:sz w:val="18"/>
          <w:szCs w:val="18"/>
          <w:color w:val="auto"/>
        </w:rPr>
        <w:t>The weighted-average grant-date fair value of options granted during Fiscal 2005, Fiscal 2004 and Fiscal 2003 was $11.90, $10.83 and $11.06, respectively. The weighted-average grant-date fair value of restricted stock and restricted stock units granted during Fiscal 2005, Fiscal 2004 and Fiscal 2003 was $37.00, $25.33 and $18.21, respectively.</w:t>
      </w:r>
    </w:p>
    <w:p>
      <w:pPr>
        <w:spacing w:after="0" w:line="73" w:lineRule="exact"/>
        <w:rPr>
          <w:sz w:val="20"/>
          <w:szCs w:val="20"/>
          <w:color w:val="auto"/>
        </w:rPr>
      </w:pPr>
    </w:p>
    <w:p>
      <w:pPr>
        <w:ind w:right="20" w:firstLine="270"/>
        <w:spacing w:after="0" w:line="264" w:lineRule="auto"/>
        <w:rPr>
          <w:sz w:val="20"/>
          <w:szCs w:val="20"/>
          <w:color w:val="auto"/>
        </w:rPr>
      </w:pPr>
      <w:r>
        <w:rPr>
          <w:rFonts w:ascii="Arial" w:cs="Arial" w:eastAsia="Arial" w:hAnsi="Arial"/>
          <w:sz w:val="18"/>
          <w:szCs w:val="18"/>
          <w:color w:val="auto"/>
        </w:rPr>
        <w:t>For this purpose, the fair value of each option grant is estimated on the date of grant using the Black-Scholes option-pricing model with the following weighted-average assumptions used for grants in Fiscal 2005, Fiscal 2004 and Fiscal 2003, respectively: expected volatility of 35.0%, 40.4% and 47.2%; risk-free interest rates of 3.29%, 2.56% and 3.69%; expected lives of 5.2 years; and a dividend of $0.20, $0.20 and $0.00.</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 comparative purposes, certain prior period amounts have been reclassified to conform to the current period’s presentation.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Restatement of Previously Issued Financial Statements</w:t>
      </w:r>
    </w:p>
    <w:p>
      <w:pPr>
        <w:spacing w:after="0" w:line="121" w:lineRule="exact"/>
        <w:rPr>
          <w:sz w:val="20"/>
          <w:szCs w:val="20"/>
          <w:color w:val="auto"/>
        </w:rPr>
      </w:pPr>
    </w:p>
    <w:p>
      <w:pPr>
        <w:ind w:right="360" w:firstLine="260"/>
        <w:spacing w:after="0" w:line="276" w:lineRule="auto"/>
        <w:rPr>
          <w:sz w:val="20"/>
          <w:szCs w:val="20"/>
          <w:color w:val="auto"/>
        </w:rPr>
      </w:pPr>
      <w:r>
        <w:rPr>
          <w:rFonts w:ascii="Arial" w:cs="Arial" w:eastAsia="Arial" w:hAnsi="Arial"/>
          <w:sz w:val="17"/>
          <w:szCs w:val="17"/>
          <w:color w:val="auto"/>
        </w:rPr>
        <w:t>As a result of the clarifications contained in the February 7, 2005 letter from the Office of the Chief Accountant of the Securities and Exchange Commission (“SEC”) to the Center for Public Company Audit Firms of the American Institute of Certified Public Accountants regarding specific lease accounting issues, we initiated a review of the Company’s lease accounting practices. Management and the Audit Committee of the Company’s Board of Directors determined that our accounting practices were incorrect with respect to rent holiday periods and the classification of landlord incentives and the related amortization. We have made all appropriate adjustments to correct these errors for all periods presented.</w:t>
      </w:r>
    </w:p>
    <w:p>
      <w:pPr>
        <w:spacing w:after="0" w:line="64" w:lineRule="exact"/>
        <w:rPr>
          <w:sz w:val="20"/>
          <w:szCs w:val="20"/>
          <w:color w:val="auto"/>
        </w:rPr>
      </w:pPr>
    </w:p>
    <w:p>
      <w:pPr>
        <w:ind w:right="120" w:firstLine="270"/>
        <w:spacing w:after="0" w:line="257" w:lineRule="auto"/>
        <w:rPr>
          <w:sz w:val="20"/>
          <w:szCs w:val="20"/>
          <w:color w:val="auto"/>
        </w:rPr>
      </w:pPr>
      <w:r>
        <w:rPr>
          <w:rFonts w:ascii="Arial" w:cs="Arial" w:eastAsia="Arial" w:hAnsi="Arial"/>
          <w:sz w:val="18"/>
          <w:szCs w:val="18"/>
          <w:color w:val="auto"/>
        </w:rPr>
        <w:t>In periods prior to the fourth quarter of fiscal 2005, we recorded straight-line rent expense for store operating leases over the related store’s lease term beginning with the commencement date of store operations. Rent expense was not recognized during any build-out period. To correct this practice, we adopted a policy in which rent expense is recognized on a straight-line over the stores’ lease term commencing with the build-out period (the effective lease-commencement date). This correction resulted in a reduction in operating income of $2.9 million and an increase of $2.4 million for Fiscal 2004 and Fiscal 2003, respectively.</w:t>
      </w:r>
    </w:p>
    <w:p>
      <w:pPr>
        <w:spacing w:after="0" w:line="80" w:lineRule="exact"/>
        <w:rPr>
          <w:sz w:val="20"/>
          <w:szCs w:val="20"/>
          <w:color w:val="auto"/>
        </w:rPr>
      </w:pPr>
    </w:p>
    <w:p>
      <w:pPr>
        <w:ind w:firstLine="270"/>
        <w:spacing w:after="0" w:line="271" w:lineRule="auto"/>
        <w:rPr>
          <w:sz w:val="20"/>
          <w:szCs w:val="20"/>
          <w:color w:val="auto"/>
        </w:rPr>
      </w:pPr>
      <w:r>
        <w:rPr>
          <w:rFonts w:ascii="Arial" w:cs="Arial" w:eastAsia="Arial" w:hAnsi="Arial"/>
          <w:sz w:val="17"/>
          <w:szCs w:val="17"/>
          <w:color w:val="auto"/>
        </w:rPr>
        <w:t>Prior to the fourth quarter of fiscal 2005, we incorrectly classified tenant allowances (amount received from a landlord to fund leasehold improvements) as a reduction of property and equipment rather than as a deferred lease incentive liability. The amortization of these landlord incentives was originally recorded as a reduction in depreciation expense rather than as a reduction of rent expense. In addition, our statements of cash flows had originally reflected these incentives as a reduction of capital expenditures within cash flows from investing activities rather than as cash flows from operating activities. These corrections resulted in an increase to net property and equipment and deferred lease incentive liabilities of $11.4 million and $20.6 million, respectively, at April 3, 2004. Additionally, for each of the fiscal years in the two-year period ended April 3, 2004, the reclassification of the amortization of deferred lease incentives resulted in a decrease to rent expense with a corresponding increase to depreciation expense of $2.1 million and $0.9 million, respectively. A $5.5 million decrease was recorded to retained earnings as of March 30, 2002 as a result of this restatement.</w:t>
      </w:r>
    </w:p>
    <w:p>
      <w:pPr>
        <w:spacing w:after="0" w:line="71" w:lineRule="exact"/>
        <w:rPr>
          <w:sz w:val="20"/>
          <w:szCs w:val="20"/>
          <w:color w:val="auto"/>
        </w:rPr>
      </w:pPr>
    </w:p>
    <w:p>
      <w:pPr>
        <w:ind w:right="320" w:firstLine="270"/>
        <w:spacing w:after="0" w:line="264" w:lineRule="auto"/>
        <w:rPr>
          <w:sz w:val="20"/>
          <w:szCs w:val="20"/>
          <w:color w:val="auto"/>
        </w:rPr>
      </w:pPr>
      <w:r>
        <w:rPr>
          <w:rFonts w:ascii="Arial" w:cs="Arial" w:eastAsia="Arial" w:hAnsi="Arial"/>
          <w:sz w:val="18"/>
          <w:szCs w:val="18"/>
          <w:color w:val="auto"/>
        </w:rPr>
        <w:t>In January 2000, Ralph Lauren Media, LLC, a joint venture with National Broadcasting Company, Inc. and certain affiliated companies (“NBC”), was formed. Under this 30-year joint venture agreement, Ralph Lauren Media is owned 50% by the Company and 50% by NBC and related affiliates. The Company has used the equity method of accounting for this investment since inception.</w:t>
      </w:r>
    </w:p>
    <w:p>
      <w:pPr>
        <w:spacing w:after="0" w:line="73" w:lineRule="exact"/>
        <w:rPr>
          <w:sz w:val="20"/>
          <w:szCs w:val="20"/>
          <w:color w:val="auto"/>
        </w:rPr>
      </w:pPr>
    </w:p>
    <w:p>
      <w:pPr>
        <w:ind w:right="220" w:firstLine="270"/>
        <w:spacing w:after="0" w:line="279" w:lineRule="auto"/>
        <w:rPr>
          <w:sz w:val="20"/>
          <w:szCs w:val="20"/>
          <w:color w:val="auto"/>
        </w:rPr>
      </w:pPr>
      <w:r>
        <w:rPr>
          <w:rFonts w:ascii="Arial" w:cs="Arial" w:eastAsia="Arial" w:hAnsi="Arial"/>
          <w:sz w:val="17"/>
          <w:szCs w:val="17"/>
          <w:color w:val="auto"/>
        </w:rPr>
        <w:t>On December 24, 2003, the Financial Accounting Standard Board (“FASB”) issued FIN 46R, which was applicable for financial statements issued for reporting periods ending after March 15, 2004. The Company considered the provisions of FIN 46R in its fiscal 2004 financial statements and made the determination that Ralph Lauren Media was a variable interest entity (“VIE”) under FIN 46R. At that time the Company also determined that it was not the primary beneficiary under FIN 46R and, therefore, was not required to consolidate the results of Ralph Lauren Media.</w:t>
      </w:r>
    </w:p>
    <w:p>
      <w:pPr>
        <w:spacing w:after="0" w:line="63" w:lineRule="exact"/>
        <w:rPr>
          <w:sz w:val="20"/>
          <w:szCs w:val="20"/>
          <w:color w:val="auto"/>
        </w:rPr>
      </w:pPr>
    </w:p>
    <w:p>
      <w:pPr>
        <w:ind w:right="160" w:firstLine="270"/>
        <w:spacing w:after="0" w:line="257" w:lineRule="auto"/>
        <w:rPr>
          <w:sz w:val="20"/>
          <w:szCs w:val="20"/>
          <w:color w:val="auto"/>
        </w:rPr>
      </w:pPr>
      <w:r>
        <w:rPr>
          <w:rFonts w:ascii="Arial" w:cs="Arial" w:eastAsia="Arial" w:hAnsi="Arial"/>
          <w:sz w:val="18"/>
          <w:szCs w:val="18"/>
          <w:color w:val="auto"/>
        </w:rPr>
        <w:t>Upon subsequent review the Company has concluded that its determination in 2004 was incorrect and that consolidation of Ralph Lauren Media into the Company’s financial statements was required as of April 3, 2004. The impact on the Company’s balance sheet as of April 3, 2004 is to increase assets and liabilities. Previously, the Company accounted for this joint venture using the equity method of accounting under which we recognized our share of Ralph Lauren Media’s operating results based on our share of ownership and the terms of the joint venture agreement. As a result, there is no impact from the consolidation on prior year’s reported earnings.</w:t>
      </w:r>
    </w:p>
    <w:p>
      <w:pPr>
        <w:spacing w:after="0" w:line="80" w:lineRule="exact"/>
        <w:rPr>
          <w:sz w:val="20"/>
          <w:szCs w:val="20"/>
          <w:color w:val="auto"/>
        </w:rPr>
      </w:pPr>
    </w:p>
    <w:p>
      <w:pPr>
        <w:ind w:right="500" w:firstLine="267"/>
        <w:spacing w:after="0" w:line="277" w:lineRule="auto"/>
        <w:rPr>
          <w:sz w:val="20"/>
          <w:szCs w:val="20"/>
          <w:color w:val="auto"/>
        </w:rPr>
      </w:pPr>
      <w:r>
        <w:rPr>
          <w:rFonts w:ascii="Arial" w:cs="Arial" w:eastAsia="Arial" w:hAnsi="Arial"/>
          <w:sz w:val="18"/>
          <w:szCs w:val="18"/>
          <w:color w:val="auto"/>
        </w:rPr>
        <w:t>The Company also corrected the classification of the net loss recorded on the disposal of property and equipment from the investing activities to the operating activities section within the Statement of Cash Flows for Fiscal 2004 and Fiscal 2003.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120" w:firstLine="270"/>
        <w:spacing w:after="0" w:line="264" w:lineRule="auto"/>
        <w:rPr>
          <w:sz w:val="20"/>
          <w:szCs w:val="20"/>
          <w:color w:val="auto"/>
        </w:rPr>
      </w:pPr>
      <w:r>
        <w:rPr>
          <w:rFonts w:ascii="Arial" w:cs="Arial" w:eastAsia="Arial" w:hAnsi="Arial"/>
          <w:sz w:val="18"/>
          <w:szCs w:val="18"/>
          <w:color w:val="auto"/>
        </w:rPr>
        <w:t>Further, upon review of the Fiscal 2004 Statement of Cash Flows, the Company concluded that certain foreign exchange results previously classified as “Effect of exchange rate changes on cash and cash equivalents and net investment in foreign subsidiaries” should be classified as operating activities and has made these corrections as part of the restatement.</w:t>
      </w:r>
    </w:p>
    <w:p>
      <w:pPr>
        <w:spacing w:after="0" w:line="73" w:lineRule="exact"/>
        <w:rPr>
          <w:sz w:val="20"/>
          <w:szCs w:val="20"/>
          <w:color w:val="auto"/>
        </w:rPr>
      </w:pPr>
    </w:p>
    <w:p>
      <w:pPr>
        <w:jc w:val="both"/>
        <w:ind w:right="80" w:firstLine="260"/>
        <w:spacing w:after="0" w:line="264" w:lineRule="auto"/>
        <w:rPr>
          <w:sz w:val="20"/>
          <w:szCs w:val="20"/>
          <w:color w:val="auto"/>
        </w:rPr>
      </w:pPr>
      <w:r>
        <w:rPr>
          <w:rFonts w:ascii="Arial" w:cs="Arial" w:eastAsia="Arial" w:hAnsi="Arial"/>
          <w:sz w:val="18"/>
          <w:szCs w:val="18"/>
          <w:color w:val="auto"/>
        </w:rPr>
        <w:t>A summary of the impact of the restatement to properly account for leases and to consolidate RL Media as described in Note 4, as of April 3, 2004 on the Company’s consolidated balance sheet as April 3, 2004, and the consolidated income statements for the fiscal years ended April 3, 2004 and March 29, 2003 is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w w:val="96"/>
              </w:rPr>
              <w:t>April 3, 2004</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2"/>
          </w:tcPr>
          <w:p>
            <w:pPr>
              <w:jc w:val="center"/>
              <w:ind w:right="800"/>
              <w:spacing w:after="0" w:line="133" w:lineRule="exact"/>
              <w:rPr>
                <w:sz w:val="20"/>
                <w:szCs w:val="20"/>
                <w:color w:val="auto"/>
              </w:rPr>
            </w:pPr>
            <w:r>
              <w:rPr>
                <w:rFonts w:ascii="Arial" w:cs="Arial" w:eastAsia="Arial" w:hAnsi="Arial"/>
                <w:sz w:val="14"/>
                <w:szCs w:val="14"/>
                <w:b w:val="1"/>
                <w:bCs w:val="1"/>
                <w:color w:val="auto"/>
                <w:w w:val="89"/>
              </w:rPr>
              <w:t>As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6"/>
          </w:tcPr>
          <w:p>
            <w:pPr>
              <w:jc w:val="center"/>
              <w:ind w:right="780"/>
              <w:spacing w:after="0" w:line="133" w:lineRule="exact"/>
              <w:rPr>
                <w:sz w:val="20"/>
                <w:szCs w:val="20"/>
                <w:color w:val="auto"/>
              </w:rPr>
            </w:pPr>
            <w:r>
              <w:rPr>
                <w:rFonts w:ascii="Arial" w:cs="Arial" w:eastAsia="Arial" w:hAnsi="Arial"/>
                <w:sz w:val="14"/>
                <w:szCs w:val="14"/>
                <w:b w:val="1"/>
                <w:bCs w:val="1"/>
                <w:color w:val="auto"/>
                <w:w w:val="85"/>
              </w:rPr>
              <w:t>Lease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20" w:type="dxa"/>
            <w:vAlign w:val="bottom"/>
            <w:gridSpan w:val="6"/>
            <w:vMerge w:val="restart"/>
          </w:tcPr>
          <w:p>
            <w:pPr>
              <w:jc w:val="center"/>
              <w:ind w:right="760"/>
              <w:spacing w:after="0"/>
              <w:rPr>
                <w:sz w:val="20"/>
                <w:szCs w:val="20"/>
                <w:color w:val="auto"/>
              </w:rPr>
            </w:pPr>
            <w:r>
              <w:rPr>
                <w:rFonts w:ascii="Arial" w:cs="Arial" w:eastAsia="Arial" w:hAnsi="Arial"/>
                <w:sz w:val="14"/>
                <w:szCs w:val="14"/>
                <w:b w:val="1"/>
                <w:bCs w:val="1"/>
                <w:color w:val="auto"/>
              </w:rPr>
              <w:t>RL Media</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Previously</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6"/>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Accounting</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2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6"/>
            <w:vMerge w:val="restart"/>
          </w:tcPr>
          <w:p>
            <w:pPr>
              <w:jc w:val="right"/>
              <w:ind w:right="70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1"/>
              </w:rPr>
              <w:t>Reported</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6"/>
          </w:tcPr>
          <w:p>
            <w:pPr>
              <w:jc w:val="center"/>
              <w:ind w:right="780"/>
              <w:spacing w:after="0"/>
              <w:rPr>
                <w:sz w:val="20"/>
                <w:szCs w:val="20"/>
                <w:color w:val="auto"/>
              </w:rPr>
            </w:pPr>
            <w:r>
              <w:rPr>
                <w:rFonts w:ascii="Arial" w:cs="Arial" w:eastAsia="Arial" w:hAnsi="Arial"/>
                <w:sz w:val="14"/>
                <w:szCs w:val="14"/>
                <w:b w:val="1"/>
                <w:bCs w:val="1"/>
                <w:color w:val="auto"/>
                <w:w w:val="91"/>
              </w:rPr>
              <w:t>Adjustments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20" w:type="dxa"/>
            <w:vAlign w:val="bottom"/>
            <w:gridSpan w:val="6"/>
          </w:tcPr>
          <w:p>
            <w:pPr>
              <w:jc w:val="center"/>
              <w:ind w:right="760"/>
              <w:spacing w:after="0"/>
              <w:rPr>
                <w:sz w:val="20"/>
                <w:szCs w:val="20"/>
                <w:color w:val="auto"/>
              </w:rPr>
            </w:pPr>
            <w:r>
              <w:rPr>
                <w:rFonts w:ascii="Arial" w:cs="Arial" w:eastAsia="Arial" w:hAnsi="Arial"/>
                <w:sz w:val="14"/>
                <w:szCs w:val="14"/>
                <w:b w:val="1"/>
                <w:bCs w:val="1"/>
                <w:color w:val="auto"/>
                <w:w w:val="89"/>
              </w:rPr>
              <w:t>Consolidation</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343,477</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32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8,858</w:t>
            </w:r>
          </w:p>
        </w:tc>
        <w:tc>
          <w:tcPr>
            <w:tcW w:w="3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352,335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363,691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9,479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373,170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100,862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(2,521)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98,357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1,271,319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15,816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2"/>
              </w:rPr>
              <w:t>1,287,151</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397,328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11,379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408,741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61,579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65,542</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180,772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(3,897)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4"/>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176,875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2,270,241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11,461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15,850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2"/>
              </w:rPr>
              <w:t>2,297,552</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187,355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1,564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188,919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 and other</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234,218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(2,472)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4,978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236,724</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69,693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20,559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9,308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99,560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1,422,073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(6,626)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2"/>
              </w:rPr>
              <w:t>1,415,447</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spacing w:after="0"/>
              <w:rPr>
                <w:sz w:val="20"/>
                <w:szCs w:val="20"/>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2,270,241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11,461</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15,850</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w w:val="92"/>
              </w:rPr>
              <w:t>2,297,552</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10"/>
          </w:tcPr>
          <w:p>
            <w:pPr>
              <w:jc w:val="right"/>
              <w:ind w:right="280"/>
              <w:spacing w:after="0"/>
              <w:rPr>
                <w:sz w:val="20"/>
                <w:szCs w:val="20"/>
                <w:color w:val="auto"/>
              </w:rPr>
            </w:pPr>
            <w:r>
              <w:rPr>
                <w:rFonts w:ascii="Arial" w:cs="Arial" w:eastAsia="Arial" w:hAnsi="Arial"/>
                <w:sz w:val="14"/>
                <w:szCs w:val="14"/>
                <w:b w:val="1"/>
                <w:bCs w:val="1"/>
                <w:color w:val="auto"/>
              </w:rPr>
              <w:t>Fiscal Year Ended April 3, 2004</w:t>
            </w: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6"/>
          </w:tcPr>
          <w:p>
            <w:pPr>
              <w:jc w:val="center"/>
              <w:ind w:right="680"/>
              <w:spacing w:after="0" w:line="133" w:lineRule="exact"/>
              <w:rPr>
                <w:sz w:val="20"/>
                <w:szCs w:val="20"/>
                <w:color w:val="auto"/>
              </w:rPr>
            </w:pPr>
            <w:r>
              <w:rPr>
                <w:rFonts w:ascii="Arial" w:cs="Arial" w:eastAsia="Arial" w:hAnsi="Arial"/>
                <w:sz w:val="14"/>
                <w:szCs w:val="14"/>
                <w:b w:val="1"/>
                <w:bCs w:val="1"/>
                <w:color w:val="auto"/>
                <w:w w:val="89"/>
              </w:rPr>
              <w:t>As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20" w:type="dxa"/>
            <w:vAlign w:val="bottom"/>
            <w:gridSpan w:val="6"/>
          </w:tcPr>
          <w:p>
            <w:pPr>
              <w:jc w:val="center"/>
              <w:ind w:right="800"/>
              <w:spacing w:after="0" w:line="133" w:lineRule="exact"/>
              <w:rPr>
                <w:sz w:val="20"/>
                <w:szCs w:val="20"/>
                <w:color w:val="auto"/>
              </w:rPr>
            </w:pPr>
            <w:r>
              <w:rPr>
                <w:rFonts w:ascii="Arial" w:cs="Arial" w:eastAsia="Arial" w:hAnsi="Arial"/>
                <w:sz w:val="14"/>
                <w:szCs w:val="14"/>
                <w:b w:val="1"/>
                <w:bCs w:val="1"/>
                <w:color w:val="auto"/>
                <w:w w:val="90"/>
              </w:rPr>
              <w:t>Lease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6"/>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Previously</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20" w:type="dxa"/>
            <w:vAlign w:val="bottom"/>
            <w:gridSpan w:val="6"/>
          </w:tcPr>
          <w:p>
            <w:pPr>
              <w:jc w:val="center"/>
              <w:ind w:right="800"/>
              <w:spacing w:after="0" w:line="149" w:lineRule="exact"/>
              <w:rPr>
                <w:sz w:val="20"/>
                <w:szCs w:val="20"/>
                <w:color w:val="auto"/>
              </w:rPr>
            </w:pPr>
            <w:r>
              <w:rPr>
                <w:rFonts w:ascii="Arial" w:cs="Arial" w:eastAsia="Arial" w:hAnsi="Arial"/>
                <w:sz w:val="14"/>
                <w:szCs w:val="14"/>
                <w:b w:val="1"/>
                <w:bCs w:val="1"/>
                <w:color w:val="auto"/>
                <w:w w:val="93"/>
              </w:rPr>
              <w:t>Accounting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6"/>
            <w:vMerge w:val="restart"/>
          </w:tcPr>
          <w:p>
            <w:pPr>
              <w:jc w:val="right"/>
              <w:ind w:right="760"/>
              <w:spacing w:after="0"/>
              <w:rPr>
                <w:sz w:val="20"/>
                <w:szCs w:val="20"/>
                <w:color w:val="auto"/>
              </w:rPr>
            </w:pPr>
            <w:r>
              <w:rPr>
                <w:rFonts w:ascii="Arial" w:cs="Arial" w:eastAsia="Arial" w:hAnsi="Arial"/>
                <w:sz w:val="14"/>
                <w:szCs w:val="14"/>
                <w:b w:val="1"/>
                <w:bCs w:val="1"/>
                <w:color w:val="auto"/>
                <w:w w:val="93"/>
              </w:rPr>
              <w:t>As Restated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6"/>
          </w:tcPr>
          <w:p>
            <w:pPr>
              <w:jc w:val="center"/>
              <w:ind w:right="660"/>
              <w:spacing w:after="0"/>
              <w:rPr>
                <w:sz w:val="20"/>
                <w:szCs w:val="20"/>
                <w:color w:val="auto"/>
              </w:rPr>
            </w:pPr>
            <w:r>
              <w:rPr>
                <w:rFonts w:ascii="Arial" w:cs="Arial" w:eastAsia="Arial" w:hAnsi="Arial"/>
                <w:sz w:val="14"/>
                <w:szCs w:val="14"/>
                <w:b w:val="1"/>
                <w:bCs w:val="1"/>
                <w:color w:val="auto"/>
                <w:w w:val="94"/>
              </w:rPr>
              <w:t>Reported</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20" w:type="dxa"/>
            <w:vAlign w:val="bottom"/>
            <w:gridSpan w:val="6"/>
          </w:tcPr>
          <w:p>
            <w:pPr>
              <w:jc w:val="center"/>
              <w:ind w:right="800"/>
              <w:spacing w:after="0"/>
              <w:rPr>
                <w:sz w:val="20"/>
                <w:szCs w:val="20"/>
                <w:color w:val="auto"/>
              </w:rPr>
            </w:pPr>
            <w:r>
              <w:rPr>
                <w:rFonts w:ascii="Arial" w:cs="Arial" w:eastAsia="Arial" w:hAnsi="Arial"/>
                <w:sz w:val="14"/>
                <w:szCs w:val="14"/>
                <w:b w:val="1"/>
                <w:bCs w:val="1"/>
                <w:color w:val="auto"/>
                <w:w w:val="94"/>
              </w:rPr>
              <w:t>Adjustments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Income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1,029,957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30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2,905</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1,032,862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5"/>
            <w:shd w:val="clear" w:color="auto" w:fill="CCEEFF"/>
          </w:tcPr>
          <w:p>
            <w:pPr>
              <w:jc w:val="right"/>
              <w:ind w:right="368"/>
              <w:spacing w:after="0"/>
              <w:rPr>
                <w:sz w:val="20"/>
                <w:szCs w:val="20"/>
                <w:color w:val="auto"/>
              </w:rPr>
            </w:pPr>
            <w:r>
              <w:rPr>
                <w:rFonts w:ascii="Arial" w:cs="Arial" w:eastAsia="Arial" w:hAnsi="Arial"/>
                <w:sz w:val="18"/>
                <w:szCs w:val="18"/>
                <w:color w:val="auto"/>
              </w:rPr>
              <w:t>273,796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(2,905)</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270,891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368"/>
              <w:spacing w:after="0"/>
              <w:rPr>
                <w:sz w:val="20"/>
                <w:szCs w:val="20"/>
                <w:color w:val="auto"/>
              </w:rPr>
            </w:pPr>
            <w:r>
              <w:rPr>
                <w:rFonts w:ascii="Arial" w:cs="Arial" w:eastAsia="Arial" w:hAnsi="Arial"/>
                <w:sz w:val="18"/>
                <w:szCs w:val="18"/>
                <w:color w:val="auto"/>
                <w:w w:val="98"/>
              </w:rPr>
              <w:t>95,055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(1,180)</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93,875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5"/>
            <w:shd w:val="clear" w:color="auto" w:fill="CCEEFF"/>
          </w:tcPr>
          <w:p>
            <w:pPr>
              <w:jc w:val="right"/>
              <w:ind w:right="368"/>
              <w:spacing w:after="0"/>
              <w:rPr>
                <w:sz w:val="20"/>
                <w:szCs w:val="20"/>
                <w:color w:val="auto"/>
              </w:rPr>
            </w:pPr>
            <w:r>
              <w:rPr>
                <w:rFonts w:ascii="Arial" w:cs="Arial" w:eastAsia="Arial" w:hAnsi="Arial"/>
                <w:sz w:val="18"/>
                <w:szCs w:val="18"/>
                <w:color w:val="auto"/>
              </w:rPr>
              <w:t>170,954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(1,725)</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169,229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368"/>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9"/>
          </w:tcPr>
          <w:p>
            <w:pPr>
              <w:jc w:val="center"/>
              <w:ind w:right="40"/>
              <w:spacing w:after="0"/>
              <w:rPr>
                <w:sz w:val="20"/>
                <w:szCs w:val="20"/>
                <w:color w:val="auto"/>
              </w:rPr>
            </w:pPr>
            <w:r>
              <w:rPr>
                <w:rFonts w:ascii="Arial" w:cs="Arial" w:eastAsia="Arial" w:hAnsi="Arial"/>
                <w:sz w:val="14"/>
                <w:szCs w:val="14"/>
                <w:b w:val="1"/>
                <w:bCs w:val="1"/>
                <w:color w:val="auto"/>
                <w:w w:val="93"/>
              </w:rPr>
              <w:t>Fiscal Year Ended March 29, 2003</w:t>
            </w:r>
          </w:p>
        </w:tc>
        <w:tc>
          <w:tcPr>
            <w:tcW w:w="2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4"/>
          </w:tcPr>
          <w:p>
            <w:pPr>
              <w:jc w:val="center"/>
              <w:ind w:right="180"/>
              <w:spacing w:after="0" w:line="133" w:lineRule="exact"/>
              <w:rPr>
                <w:sz w:val="20"/>
                <w:szCs w:val="20"/>
                <w:color w:val="auto"/>
              </w:rPr>
            </w:pPr>
            <w:r>
              <w:rPr>
                <w:rFonts w:ascii="Arial" w:cs="Arial" w:eastAsia="Arial" w:hAnsi="Arial"/>
                <w:sz w:val="14"/>
                <w:szCs w:val="14"/>
                <w:b w:val="1"/>
                <w:bCs w:val="1"/>
                <w:color w:val="auto"/>
                <w:w w:val="89"/>
              </w:rPr>
              <w:t>As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4"/>
          </w:tcPr>
          <w:p>
            <w:pPr>
              <w:jc w:val="center"/>
              <w:ind w:right="460"/>
              <w:spacing w:after="0" w:line="133" w:lineRule="exact"/>
              <w:rPr>
                <w:sz w:val="20"/>
                <w:szCs w:val="20"/>
                <w:color w:val="auto"/>
              </w:rPr>
            </w:pPr>
            <w:r>
              <w:rPr>
                <w:rFonts w:ascii="Arial" w:cs="Arial" w:eastAsia="Arial" w:hAnsi="Arial"/>
                <w:sz w:val="14"/>
                <w:szCs w:val="14"/>
                <w:b w:val="1"/>
                <w:bCs w:val="1"/>
                <w:color w:val="auto"/>
                <w:w w:val="85"/>
              </w:rPr>
              <w:t>Lease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vMerge w:val="restart"/>
          </w:tcPr>
          <w:p>
            <w:pPr>
              <w:jc w:val="right"/>
              <w:ind w:right="72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Previously</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Accounting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Reported</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1"/>
              </w:rPr>
              <w:t>Adjustments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Income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center"/>
              <w:ind w:left="358"/>
              <w:spacing w:after="0"/>
              <w:rPr>
                <w:sz w:val="20"/>
                <w:szCs w:val="20"/>
                <w:color w:val="auto"/>
              </w:rPr>
            </w:pPr>
            <w:r>
              <w:rPr>
                <w:rFonts w:ascii="Arial" w:cs="Arial" w:eastAsia="Arial" w:hAnsi="Arial"/>
                <w:sz w:val="18"/>
                <w:szCs w:val="18"/>
                <w:color w:val="auto"/>
                <w:w w:val="99"/>
              </w:rPr>
              <w:t>$</w:t>
            </w: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904,741</w:t>
            </w: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ind w:right="260"/>
              <w:spacing w:after="0"/>
              <w:rPr>
                <w:sz w:val="20"/>
                <w:szCs w:val="20"/>
                <w:color w:val="auto"/>
              </w:rPr>
            </w:pPr>
            <w:r>
              <w:rPr>
                <w:rFonts w:ascii="Arial" w:cs="Arial" w:eastAsia="Arial" w:hAnsi="Arial"/>
                <w:sz w:val="18"/>
                <w:szCs w:val="18"/>
                <w:color w:val="auto"/>
              </w:rPr>
              <w:t>(2,438)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300"/>
              <w:spacing w:after="0"/>
              <w:rPr>
                <w:sz w:val="20"/>
                <w:szCs w:val="20"/>
                <w:color w:val="auto"/>
              </w:rPr>
            </w:pPr>
            <w:r>
              <w:rPr>
                <w:rFonts w:ascii="Arial" w:cs="Arial" w:eastAsia="Arial" w:hAnsi="Arial"/>
                <w:sz w:val="18"/>
                <w:szCs w:val="18"/>
                <w:color w:val="auto"/>
              </w:rPr>
              <w:t>902,303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288,417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2,438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290,855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100,151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4"/>
          </w:tcPr>
          <w:p>
            <w:pPr>
              <w:jc w:val="right"/>
              <w:ind w:right="320"/>
              <w:spacing w:after="0"/>
              <w:rPr>
                <w:sz w:val="20"/>
                <w:szCs w:val="20"/>
                <w:color w:val="auto"/>
              </w:rPr>
            </w:pPr>
            <w:r>
              <w:rPr>
                <w:rFonts w:ascii="Arial" w:cs="Arial" w:eastAsia="Arial" w:hAnsi="Arial"/>
                <w:sz w:val="18"/>
                <w:szCs w:val="18"/>
                <w:color w:val="auto"/>
              </w:rPr>
              <w:t>990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4"/>
          </w:tcPr>
          <w:p>
            <w:pPr>
              <w:jc w:val="right"/>
              <w:ind w:right="300"/>
              <w:spacing w:after="0"/>
              <w:rPr>
                <w:sz w:val="20"/>
                <w:szCs w:val="20"/>
                <w:color w:val="auto"/>
              </w:rPr>
            </w:pPr>
            <w:r>
              <w:rPr>
                <w:rFonts w:ascii="Arial" w:cs="Arial" w:eastAsia="Arial" w:hAnsi="Arial"/>
                <w:sz w:val="18"/>
                <w:szCs w:val="18"/>
                <w:color w:val="auto"/>
              </w:rPr>
              <w:t>101,141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174,235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1,448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175,683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4"/>
          </w:tcPr>
          <w:p>
            <w:pPr>
              <w:jc w:val="right"/>
              <w:ind w:right="32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4"/>
          </w:tcPr>
          <w:p>
            <w:pPr>
              <w:jc w:val="right"/>
              <w:ind w:right="3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right="200" w:firstLine="267"/>
        <w:spacing w:after="0" w:line="264" w:lineRule="auto"/>
        <w:rPr>
          <w:sz w:val="20"/>
          <w:szCs w:val="20"/>
          <w:color w:val="auto"/>
        </w:rPr>
      </w:pPr>
      <w:r>
        <w:rPr>
          <w:rFonts w:ascii="Arial" w:cs="Arial" w:eastAsia="Arial" w:hAnsi="Arial"/>
          <w:sz w:val="18"/>
          <w:szCs w:val="18"/>
          <w:color w:val="auto"/>
        </w:rPr>
        <w:t>The corrections described above also resulted in increases in cash provided by operating activities (primarily due to the proper presentation of deferred lease incentives) with corresponding increases in cash used in investing activities (due to the proper presentation of tenant allowances) for each of the fiscal years in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two-year period ended April 3, 2004 of $3.2 million and $3.8 million, respectively. A summary of the impact of the corrections to the statements of cash flows, is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9"/>
              </w:rPr>
              <w:t>As</w:t>
            </w:r>
          </w:p>
        </w:tc>
        <w:tc>
          <w:tcPr>
            <w:tcW w:w="120" w:type="dxa"/>
            <w:vAlign w:val="bottom"/>
          </w:tcPr>
          <w:p>
            <w:pPr>
              <w:spacing w:after="0"/>
              <w:rPr>
                <w:sz w:val="14"/>
                <w:szCs w:val="14"/>
                <w:color w:val="auto"/>
              </w:rPr>
            </w:pPr>
          </w:p>
        </w:tc>
        <w:tc>
          <w:tcPr>
            <w:tcW w:w="16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5"/>
              </w:rPr>
              <w:t>Lease</w:t>
            </w:r>
          </w:p>
        </w:tc>
        <w:tc>
          <w:tcPr>
            <w:tcW w:w="120" w:type="dxa"/>
            <w:vAlign w:val="bottom"/>
          </w:tcPr>
          <w:p>
            <w:pPr>
              <w:spacing w:after="0"/>
              <w:rPr>
                <w:sz w:val="14"/>
                <w:szCs w:val="14"/>
                <w:color w:val="auto"/>
              </w:rPr>
            </w:pPr>
          </w:p>
        </w:tc>
        <w:tc>
          <w:tcPr>
            <w:tcW w:w="148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RL Media</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5"/>
              </w:rPr>
              <w:t>Other Cash</w:t>
            </w:r>
          </w:p>
        </w:tc>
        <w:tc>
          <w:tcPr>
            <w:tcW w:w="140" w:type="dxa"/>
            <w:vAlign w:val="bottom"/>
          </w:tcPr>
          <w:p>
            <w:pPr>
              <w:spacing w:after="0"/>
              <w:rPr>
                <w:sz w:val="14"/>
                <w:szCs w:val="14"/>
                <w:color w:val="auto"/>
              </w:rPr>
            </w:pPr>
          </w:p>
        </w:tc>
        <w:tc>
          <w:tcPr>
            <w:tcW w:w="10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Previously</w:t>
            </w:r>
          </w:p>
        </w:tc>
        <w:tc>
          <w:tcPr>
            <w:tcW w:w="120" w:type="dxa"/>
            <w:vAlign w:val="bottom"/>
          </w:tcPr>
          <w:p>
            <w:pPr>
              <w:spacing w:after="0"/>
              <w:rPr>
                <w:sz w:val="12"/>
                <w:szCs w:val="12"/>
                <w:color w:val="auto"/>
              </w:rPr>
            </w:pPr>
          </w:p>
        </w:tc>
        <w:tc>
          <w:tcPr>
            <w:tcW w:w="16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Accounting</w:t>
            </w: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3"/>
              </w:rPr>
              <w:t>Flow</w:t>
            </w: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Reported</w:t>
            </w:r>
          </w:p>
        </w:tc>
        <w:tc>
          <w:tcPr>
            <w:tcW w:w="120" w:type="dxa"/>
            <w:vAlign w:val="bottom"/>
          </w:tcPr>
          <w:p>
            <w:pPr>
              <w:spacing w:after="0"/>
              <w:rPr>
                <w:sz w:val="15"/>
                <w:szCs w:val="15"/>
                <w:color w:val="auto"/>
              </w:rPr>
            </w:pPr>
          </w:p>
        </w:tc>
        <w:tc>
          <w:tcPr>
            <w:tcW w:w="16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5"/>
                <w:szCs w:val="15"/>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4"/>
              </w:rPr>
              <w:t>Consolidation</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5"/>
                <w:szCs w:val="15"/>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Restated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Consolidated Statements of Cash</w:t>
            </w: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Flows</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spacing w:after="0" w:line="201" w:lineRule="exact"/>
              <w:rPr>
                <w:sz w:val="20"/>
                <w:szCs w:val="20"/>
                <w:color w:val="auto"/>
              </w:rPr>
            </w:pPr>
            <w:r>
              <w:rPr>
                <w:rFonts w:ascii="Arial" w:cs="Arial" w:eastAsia="Arial" w:hAnsi="Arial"/>
                <w:sz w:val="18"/>
                <w:szCs w:val="18"/>
                <w:color w:val="auto"/>
              </w:rPr>
              <w:t>For the fiscal year ended April 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ind w:left="140"/>
              <w:spacing w:after="0"/>
              <w:rPr>
                <w:sz w:val="20"/>
                <w:szCs w:val="20"/>
                <w:color w:val="auto"/>
              </w:rPr>
            </w:pPr>
            <w:r>
              <w:rPr>
                <w:rFonts w:ascii="Arial" w:cs="Arial" w:eastAsia="Arial" w:hAnsi="Arial"/>
                <w:sz w:val="18"/>
                <w:szCs w:val="18"/>
                <w:color w:val="auto"/>
              </w:rPr>
              <w:t>2004: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provided by operating</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activities</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210,606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w w:val="98"/>
              </w:rPr>
              <w:t>Net cash used in investing activities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132,702</w:t>
            </w:r>
          </w:p>
        </w:tc>
        <w:tc>
          <w:tcPr>
            <w:tcW w:w="120" w:type="dxa"/>
            <w:vAlign w:val="bottom"/>
          </w:tcPr>
          <w:p>
            <w:pPr>
              <w:spacing w:after="0"/>
              <w:rPr>
                <w:sz w:val="18"/>
                <w:szCs w:val="18"/>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3,224</w:t>
            </w:r>
          </w:p>
        </w:tc>
        <w:tc>
          <w:tcPr>
            <w:tcW w:w="12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(8,858)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right"/>
              <w:ind w:right="680"/>
              <w:spacing w:after="0"/>
              <w:rPr>
                <w:sz w:val="20"/>
                <w:szCs w:val="20"/>
                <w:color w:val="auto"/>
              </w:rPr>
            </w:pPr>
            <w:r>
              <w:rPr>
                <w:rFonts w:ascii="Arial" w:cs="Arial" w:eastAsia="Arial" w:hAnsi="Arial"/>
                <w:sz w:val="18"/>
                <w:szCs w:val="18"/>
                <w:color w:val="auto"/>
              </w:rPr>
              <w:t>7,391</w:t>
            </w: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134,459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Effect of exchange rate changes on</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(1,610)</w:t>
            </w:r>
          </w:p>
        </w:tc>
        <w:tc>
          <w:tcPr>
            <w:tcW w:w="1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7,613</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spacing w:after="0" w:line="201" w:lineRule="exact"/>
              <w:rPr>
                <w:sz w:val="20"/>
                <w:szCs w:val="20"/>
                <w:color w:val="auto"/>
              </w:rPr>
            </w:pPr>
            <w:r>
              <w:rPr>
                <w:rFonts w:ascii="Arial" w:cs="Arial" w:eastAsia="Arial" w:hAnsi="Arial"/>
                <w:sz w:val="18"/>
                <w:szCs w:val="18"/>
                <w:color w:val="auto"/>
                <w:w w:val="96"/>
              </w:rPr>
              <w:t>Net (decrease) increase in cash and</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ind w:left="120"/>
              <w:spacing w:after="0"/>
              <w:rPr>
                <w:sz w:val="20"/>
                <w:szCs w:val="20"/>
                <w:color w:val="auto"/>
              </w:rPr>
            </w:pPr>
            <w:r>
              <w:rPr>
                <w:rFonts w:ascii="Arial" w:cs="Arial" w:eastAsia="Arial" w:hAnsi="Arial"/>
                <w:sz w:val="18"/>
                <w:szCs w:val="18"/>
                <w:color w:val="auto"/>
              </w:rPr>
              <w:t>cash equivalents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0"/>
                <w:szCs w:val="20"/>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8,858</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8,729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For the fiscal year ended March 29,</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2003:</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spacing w:after="0" w:line="201" w:lineRule="exact"/>
              <w:rPr>
                <w:sz w:val="20"/>
                <w:szCs w:val="20"/>
                <w:color w:val="auto"/>
              </w:rPr>
            </w:pPr>
            <w:r>
              <w:rPr>
                <w:rFonts w:ascii="Arial" w:cs="Arial" w:eastAsia="Arial" w:hAnsi="Arial"/>
                <w:sz w:val="18"/>
                <w:szCs w:val="18"/>
                <w:color w:val="auto"/>
              </w:rPr>
              <w:t>Net cash provided by operating</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ind w:left="120"/>
              <w:spacing w:after="0"/>
              <w:rPr>
                <w:sz w:val="20"/>
                <w:szCs w:val="20"/>
                <w:color w:val="auto"/>
              </w:rPr>
            </w:pPr>
            <w:r>
              <w:rPr>
                <w:rFonts w:ascii="Arial" w:cs="Arial" w:eastAsia="Arial" w:hAnsi="Arial"/>
                <w:sz w:val="18"/>
                <w:szCs w:val="18"/>
                <w:color w:val="auto"/>
              </w:rPr>
              <w:t>activities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268,974</w:t>
            </w:r>
          </w:p>
        </w:tc>
        <w:tc>
          <w:tcPr>
            <w:tcW w:w="120" w:type="dxa"/>
            <w:vAlign w:val="bottom"/>
          </w:tcPr>
          <w:p>
            <w:pPr>
              <w:spacing w:after="0"/>
              <w:rPr>
                <w:sz w:val="20"/>
                <w:szCs w:val="20"/>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3,762</w:t>
            </w:r>
          </w:p>
        </w:tc>
        <w:tc>
          <w:tcPr>
            <w:tcW w:w="120" w:type="dxa"/>
            <w:vAlign w:val="bottom"/>
          </w:tcPr>
          <w:p>
            <w:pPr>
              <w:spacing w:after="0"/>
              <w:rPr>
                <w:sz w:val="20"/>
                <w:szCs w:val="20"/>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right"/>
              <w:ind w:right="680"/>
              <w:spacing w:after="0"/>
              <w:rPr>
                <w:sz w:val="20"/>
                <w:szCs w:val="20"/>
                <w:color w:val="auto"/>
              </w:rPr>
            </w:pPr>
            <w:r>
              <w:rPr>
                <w:rFonts w:ascii="Arial" w:cs="Arial" w:eastAsia="Arial" w:hAnsi="Arial"/>
                <w:sz w:val="18"/>
                <w:szCs w:val="18"/>
                <w:color w:val="auto"/>
              </w:rPr>
              <w:t>13,452</w:t>
            </w:r>
          </w:p>
        </w:tc>
        <w:tc>
          <w:tcPr>
            <w:tcW w:w="14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286,188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8"/>
              </w:rPr>
              <w:t>Net cash used in investing activities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166,269</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3,762</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13,452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183,483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spacing w:after="0" w:line="201" w:lineRule="exact"/>
              <w:rPr>
                <w:sz w:val="20"/>
                <w:szCs w:val="20"/>
                <w:color w:val="auto"/>
              </w:rPr>
            </w:pPr>
            <w:r>
              <w:rPr>
                <w:rFonts w:ascii="Arial" w:cs="Arial" w:eastAsia="Arial" w:hAnsi="Arial"/>
                <w:sz w:val="18"/>
                <w:szCs w:val="18"/>
                <w:color w:val="auto"/>
              </w:rPr>
              <w:t>Net increase in cash and cash</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ind w:left="120"/>
              <w:spacing w:after="0"/>
              <w:rPr>
                <w:sz w:val="20"/>
                <w:szCs w:val="20"/>
                <w:color w:val="auto"/>
              </w:rPr>
            </w:pPr>
            <w:r>
              <w:rPr>
                <w:rFonts w:ascii="Arial" w:cs="Arial" w:eastAsia="Arial" w:hAnsi="Arial"/>
                <w:sz w:val="18"/>
                <w:szCs w:val="18"/>
                <w:color w:val="auto"/>
              </w:rPr>
              <w:t>equivalents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98,873</w:t>
            </w:r>
          </w:p>
        </w:tc>
        <w:tc>
          <w:tcPr>
            <w:tcW w:w="120" w:type="dxa"/>
            <w:vAlign w:val="bottom"/>
          </w:tcPr>
          <w:p>
            <w:pPr>
              <w:spacing w:after="0"/>
              <w:rPr>
                <w:sz w:val="20"/>
                <w:szCs w:val="20"/>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98,873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0" w:firstLine="270"/>
        <w:spacing w:after="0" w:line="259" w:lineRule="auto"/>
        <w:rPr>
          <w:sz w:val="20"/>
          <w:szCs w:val="20"/>
          <w:color w:val="auto"/>
        </w:rPr>
      </w:pPr>
      <w:r>
        <w:rPr>
          <w:rFonts w:ascii="Arial" w:cs="Arial" w:eastAsia="Arial" w:hAnsi="Arial"/>
          <w:sz w:val="18"/>
          <w:szCs w:val="18"/>
          <w:color w:val="auto"/>
        </w:rPr>
        <w:t>In March 2005, the Financial Accounting Standards Board (“FASB”) issued Statement of Financial Accounting Standards Interpretation Number 47 (“FIN 47”), “Accounting for Conditional Asset Retirement Obligations.” FIN 47 provides clarification regarding the meaning of the term “conditional asset retirement obligation” as used in FASB 143, “Accounting for Asset Retirement Obligations.” The Company is currently evaluating the impact of FIN 47 on its financial statements.</w:t>
      </w:r>
    </w:p>
    <w:p>
      <w:pPr>
        <w:spacing w:after="0" w:line="79" w:lineRule="exact"/>
        <w:rPr>
          <w:sz w:val="20"/>
          <w:szCs w:val="20"/>
          <w:color w:val="auto"/>
        </w:rPr>
      </w:pPr>
    </w:p>
    <w:p>
      <w:pPr>
        <w:ind w:right="120" w:firstLine="270"/>
        <w:spacing w:after="0" w:line="259" w:lineRule="auto"/>
        <w:rPr>
          <w:sz w:val="20"/>
          <w:szCs w:val="20"/>
          <w:color w:val="auto"/>
        </w:rPr>
      </w:pPr>
      <w:r>
        <w:rPr>
          <w:rFonts w:ascii="Arial" w:cs="Arial" w:eastAsia="Arial" w:hAnsi="Arial"/>
          <w:sz w:val="18"/>
          <w:szCs w:val="18"/>
          <w:color w:val="auto"/>
        </w:rPr>
        <w:t>In December 2003, The Securities Exchange Commission issued Staff Accounting Bulletin No. 104 (“SAB 104”), “Revenue Recognition”. SAB 104 expands previously issued guidance on the subject of Revenue Recognition and provides specific criteria which must be fulfilled to permit the recognition of revenue from transactions. The Company does not expect the issuance of SAB 104 to have a material effect on the consolidated results of operations or financial position.</w:t>
      </w:r>
    </w:p>
    <w:p>
      <w:pPr>
        <w:spacing w:after="0" w:line="79" w:lineRule="exact"/>
        <w:rPr>
          <w:sz w:val="20"/>
          <w:szCs w:val="20"/>
          <w:color w:val="auto"/>
        </w:rPr>
      </w:pPr>
    </w:p>
    <w:p>
      <w:pPr>
        <w:ind w:right="220" w:firstLine="270"/>
        <w:spacing w:after="0" w:line="273" w:lineRule="auto"/>
        <w:rPr>
          <w:sz w:val="20"/>
          <w:szCs w:val="20"/>
          <w:color w:val="auto"/>
        </w:rPr>
      </w:pPr>
      <w:r>
        <w:rPr>
          <w:rFonts w:ascii="Arial" w:cs="Arial" w:eastAsia="Arial" w:hAnsi="Arial"/>
          <w:sz w:val="17"/>
          <w:szCs w:val="17"/>
          <w:color w:val="auto"/>
        </w:rPr>
        <w:t>In December 2004, the FASB issued Staff Position (“FSP”) No. 109-2, “Accounting and Disclosure Guidance for the Foreign Earnings Repatriation Provision within the American Jobs Creation Act of 2004” (“FSP No. 109-2”). FSP No. 109-2 provides guidance under SFAS No. 109, “Accounting for Income Taxes,” with respect to recording the potential impact of the repatriation provisions of the American Jobs Creation Act of 2004 (the “Jobs Act”) on enterprises’ income tax expense and deferred tax liability. FSP No. 109-2 states that an enterprise is allowed time beyond the financial reporting period of enactment to evaluate the effect of the Jobs Act on its plan for reinvestment or repatriation of foreign earnings for purposes of applying SFAS No. 109. The Company is currently evaluating the impact of FSP No. 109-2 on its consolidated financial statements.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firstLine="270"/>
        <w:spacing w:after="0" w:line="271" w:lineRule="auto"/>
        <w:rPr>
          <w:sz w:val="20"/>
          <w:szCs w:val="20"/>
          <w:color w:val="auto"/>
        </w:rPr>
      </w:pPr>
      <w:r>
        <w:rPr>
          <w:rFonts w:ascii="Arial" w:cs="Arial" w:eastAsia="Arial" w:hAnsi="Arial"/>
          <w:sz w:val="17"/>
          <w:szCs w:val="17"/>
          <w:color w:val="auto"/>
        </w:rPr>
        <w:t>In December 2004, the FASB issued SFAS 123R, “Share-Based Payment,” a revision of FASB Statement No. 123. Under this standard, all forms of share-based payment to employees, including stock options, would be treated as compensation and recognized in the income statement. This proposed statement would be effective for awards granted, modified or settled in fiscal years beginning after June 15, 2005. The Company currently accounts for stock options under APB No. 25. The pro forma impact of expensing options, valued using the Black Scholes valuation model, is disclosed in Note 1 of Notes to Consolidated Financial Statements. The Company is currently researching the appropriate valuation model to use for stock options. In connection with the issuance of SFAS 123R, the Securities and Exchange Commission issued Staff Accounting Bulletin number 107 (“SAB 107”) in March of 2005. SAB 107 provides implementation guidance for companies to use in their adoption of SFAS 123R. The Company is currently evaluating the effect of SFAS 123R and SAB 107 on its financial statements with intent of implementing this standard in Fiscal 2007.</w:t>
      </w:r>
    </w:p>
    <w:p>
      <w:pPr>
        <w:spacing w:after="0" w:line="71"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In December 2004, the FASB issued SFAS 153, “Exchanges of Nonmonetary Assets.” SFAS 153 is an amendment of Accounting Principles Board Opinion 29, “Accounting for Nonmonetary Transactions,” and eliminates certain narrow differences between APB 29 and international accounting standards. SFAS 153 is effective for fiscal periods beginning on or after June 15, 2005. The adoption of SFAS 153 is not expected to have a material impact on the Company’s financial statements.</w:t>
      </w:r>
    </w:p>
    <w:p>
      <w:pPr>
        <w:spacing w:after="0" w:line="79"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In December 2004, the FASB issued SFAS 152, “Accounting for Real Estate Time Sharing Transactions.” SFAS 152 is an amendment of SFAS 66 and 67 and generally requires that real estate time sharing transactions be accounted for as non retail land sales. SFAS 152 is effective for fiscal years beginning on or after June 15, 2005. The adoption of SFAS 152 is not expected to have a material impact on the Company’s financial statements.</w:t>
      </w:r>
    </w:p>
    <w:p>
      <w:pPr>
        <w:spacing w:after="0" w:line="57" w:lineRule="exact"/>
        <w:rPr>
          <w:sz w:val="20"/>
          <w:szCs w:val="20"/>
          <w:color w:val="auto"/>
        </w:rPr>
      </w:pPr>
    </w:p>
    <w:p>
      <w:pPr>
        <w:ind w:right="240" w:firstLine="270"/>
        <w:spacing w:after="0" w:line="286" w:lineRule="auto"/>
        <w:rPr>
          <w:sz w:val="20"/>
          <w:szCs w:val="20"/>
          <w:color w:val="auto"/>
        </w:rPr>
      </w:pPr>
      <w:r>
        <w:rPr>
          <w:rFonts w:ascii="Arial" w:cs="Arial" w:eastAsia="Arial" w:hAnsi="Arial"/>
          <w:sz w:val="17"/>
          <w:szCs w:val="17"/>
          <w:color w:val="auto"/>
        </w:rPr>
        <w:t>In November 2004, the FASB issued SFAS 151, “Inventory costs.” SFAS 151 is an amendment of Accounting Research Board Opinion number 43 and sets standards for the treatment of abnormal amounts of idle facility expense, freight, handling costs and spoilage. SFAS 151 is effective for fiscal years beginning after June 15, 2004. The Company is currently evaluating the impact of SFAS 151 on its financial statements.</w:t>
      </w:r>
    </w:p>
    <w:p>
      <w:pPr>
        <w:spacing w:after="0" w:line="57" w:lineRule="exact"/>
        <w:rPr>
          <w:sz w:val="20"/>
          <w:szCs w:val="20"/>
          <w:color w:val="auto"/>
        </w:rPr>
      </w:pPr>
    </w:p>
    <w:p>
      <w:pPr>
        <w:ind w:right="100" w:firstLine="270"/>
        <w:spacing w:after="0" w:line="255" w:lineRule="auto"/>
        <w:rPr>
          <w:sz w:val="20"/>
          <w:szCs w:val="20"/>
          <w:color w:val="auto"/>
        </w:rPr>
      </w:pPr>
      <w:r>
        <w:rPr>
          <w:rFonts w:ascii="Arial" w:cs="Arial" w:eastAsia="Arial" w:hAnsi="Arial"/>
          <w:sz w:val="18"/>
          <w:szCs w:val="18"/>
          <w:color w:val="auto"/>
        </w:rPr>
        <w:t>In October 2004, the FASB Emerging Issue Task Force issued its abstract No. 04-01 (“EITF 04-01”) “Accounting for Pre-existing Relationships between the Parties to a Business Combination.” EITF 04-01 addresses the appropriate accounting treatment for portions of the acquisition costs of an entity which may be deemed to apply to Elements of a pre-existing business relationship between the acquiring company and the target company. EITF 04-01 is effective for combinations consummated after October 2004. It is therefore applicable to the pending Footwear acquisition discussed in Note 23. Historically, the Company had not assigned any value to pre-existing business relationships reacquired in purchase transactions. The adoption of EITF 04-01 has no effect on historical financial statements.</w:t>
      </w:r>
    </w:p>
    <w:p>
      <w:pPr>
        <w:spacing w:after="0" w:line="85" w:lineRule="exact"/>
        <w:rPr>
          <w:sz w:val="20"/>
          <w:szCs w:val="20"/>
          <w:color w:val="auto"/>
        </w:rPr>
      </w:pPr>
    </w:p>
    <w:p>
      <w:pPr>
        <w:jc w:val="both"/>
        <w:ind w:right="80" w:firstLine="270"/>
        <w:spacing w:after="0" w:line="288" w:lineRule="auto"/>
        <w:rPr>
          <w:sz w:val="20"/>
          <w:szCs w:val="20"/>
          <w:color w:val="auto"/>
        </w:rPr>
      </w:pPr>
      <w:r>
        <w:rPr>
          <w:rFonts w:ascii="Arial" w:cs="Arial" w:eastAsia="Arial" w:hAnsi="Arial"/>
          <w:sz w:val="16"/>
          <w:szCs w:val="16"/>
          <w:color w:val="auto"/>
        </w:rPr>
        <w:t>In January 2003, the FASB issued Financial Interpretation No. (“FIN”) 46, “Consolidation of Variable Interest Entities” which was amended by FIN 46R in December, 2003. A variable interest entity is a corporation, partnership, trust or any other legal structure used for business purposes that either (a) does not have equity investors with voting rights, or (b) has equity investors that do not provide sufficient financial resources for the entity to support its activities.</w:t>
      </w:r>
    </w:p>
    <w:p>
      <w:pPr>
        <w:ind w:right="80"/>
        <w:spacing w:after="0" w:line="290" w:lineRule="auto"/>
        <w:rPr>
          <w:sz w:val="20"/>
          <w:szCs w:val="20"/>
          <w:color w:val="auto"/>
        </w:rPr>
      </w:pPr>
      <w:r>
        <w:rPr>
          <w:rFonts w:ascii="Arial" w:cs="Arial" w:eastAsia="Arial" w:hAnsi="Arial"/>
          <w:sz w:val="16"/>
          <w:szCs w:val="16"/>
          <w:color w:val="auto"/>
        </w:rPr>
        <w:t>Historically, entities generally were not consolidated unless the entity was controlled through voting interests. FIN 46R changes that by requiring a variable interest entity to be consolidated by a company if that company is subject to a majority of the risk of loss from the variable interest entity’s activities or entitled to receive a majority of the entity’s residual returns or both. A company that consolidates a variable interest entity is called the “primary beneficiary” of that entity. FIN 46R also requires disclosures about variable interest entities that a company is not required to consolidate but in which it has a significant variable interest. The consolidation requirements of FIN 46R apply immediately to variable interest entities created after January 31, 2003. The consolidation requirements of FIN 46R apply to existing entities in the first fiscal year or interim period beginning after December 15, 2003. Also, certain disclosure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requirements apply to all financial statements issued after January 31, 2003, regardless of when the variable interest entity was established. The adoption of FIN 46R required us to consolidate the assets and liabilities of RL Media. See Note 4 regarding our interest in Ralph Lauren Media, LLC.</w:t>
      </w:r>
    </w:p>
    <w:p>
      <w:pPr>
        <w:spacing w:after="0" w:line="143"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Joint Venture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On July 2, 2004, we completed the acquisition of certain assets of RL Childrenswear Company, LLC for a purchase price of approximately</w:t>
      </w:r>
    </w:p>
    <w:p>
      <w:pPr>
        <w:spacing w:after="0" w:line="23"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$263.5 million, including transaction costs. The purchase price includes deferred payments of $15 million over the next three years, and we have agreed to assume certain liabilities. Additionally, we have agreed to pay up to an additional $5 million in contingent payments if certain sales targets are attained. During the third quarter, we recorded a $5 million liability representing the contingent purchase payment because we believe it is probable the sales targets will be achieved. This amount was recorded as an increase in goodwill. RL Childrenswear Company LLC was a Polo Ralph Lauren licensee holding the exclusive licenses to design, manufacture, merchandise and sell newborn, infant, toddler and girls and boys clothing in the United States, Canada and Mexico. In connection with this acquisition, we recorded fair values of assets and liabilities as follows: inventory of $26.6 million, property &amp; equipment of</w:t>
      </w:r>
    </w:p>
    <w:p>
      <w:pPr>
        <w:spacing w:after="0" w:line="4"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$7.5 million, intangible assets consisting of non-compete agreements, valued at $2.5 million and customer relationships, valued at $29.9 million, other assets of $1.0 million, goodwill of $208.3 million and liabilities of $12.3 million. The Company has now finalized the allocation of the purchase price.</w:t>
      </w:r>
    </w:p>
    <w:p>
      <w:pPr>
        <w:spacing w:after="0" w:line="53" w:lineRule="exact"/>
        <w:rPr>
          <w:sz w:val="20"/>
          <w:szCs w:val="20"/>
          <w:color w:val="auto"/>
        </w:rPr>
      </w:pPr>
    </w:p>
    <w:p>
      <w:pPr>
        <w:ind w:right="460" w:firstLine="270"/>
        <w:spacing w:after="0" w:line="277" w:lineRule="auto"/>
        <w:rPr>
          <w:sz w:val="20"/>
          <w:szCs w:val="20"/>
          <w:color w:val="auto"/>
        </w:rPr>
      </w:pPr>
      <w:r>
        <w:rPr>
          <w:rFonts w:ascii="Arial" w:cs="Arial" w:eastAsia="Arial" w:hAnsi="Arial"/>
          <w:sz w:val="18"/>
          <w:szCs w:val="18"/>
          <w:color w:val="auto"/>
        </w:rPr>
        <w:t>Operating activities of the Childrenswear Company since the acquisition are included in the results of operations commencing July 2, 2004, for year ended April 2, 2005.</w:t>
      </w:r>
    </w:p>
    <w:p>
      <w:pPr>
        <w:spacing w:after="0" w:line="62" w:lineRule="exact"/>
        <w:rPr>
          <w:sz w:val="20"/>
          <w:szCs w:val="20"/>
          <w:color w:val="auto"/>
        </w:rPr>
      </w:pPr>
    </w:p>
    <w:p>
      <w:pPr>
        <w:jc w:val="both"/>
        <w:ind w:right="180" w:firstLine="267"/>
        <w:spacing w:after="0" w:line="264" w:lineRule="auto"/>
        <w:rPr>
          <w:sz w:val="20"/>
          <w:szCs w:val="20"/>
          <w:color w:val="auto"/>
        </w:rPr>
      </w:pPr>
      <w:r>
        <w:rPr>
          <w:rFonts w:ascii="Arial" w:cs="Arial" w:eastAsia="Arial" w:hAnsi="Arial"/>
          <w:sz w:val="18"/>
          <w:szCs w:val="18"/>
          <w:color w:val="auto"/>
        </w:rPr>
        <w:t>The following unaudited pro forma information assumes the Childrenswear acquisition had occurred on March 30, 2003. The pro forma information, as presented below, is not indicative of the results that would have been obtained had the transaction occurred March 30, 2003, nor is it indicative of our future results.</w:t>
      </w:r>
    </w:p>
    <w:p>
      <w:pPr>
        <w:spacing w:after="0" w:line="73" w:lineRule="exact"/>
        <w:rPr>
          <w:sz w:val="20"/>
          <w:szCs w:val="20"/>
          <w:color w:val="auto"/>
        </w:rPr>
      </w:pPr>
    </w:p>
    <w:p>
      <w:pPr>
        <w:ind w:right="160" w:firstLine="267"/>
        <w:spacing w:after="0" w:line="255" w:lineRule="auto"/>
        <w:rPr>
          <w:sz w:val="20"/>
          <w:szCs w:val="20"/>
          <w:color w:val="auto"/>
        </w:rPr>
      </w:pPr>
      <w:r>
        <w:rPr>
          <w:rFonts w:ascii="Arial" w:cs="Arial" w:eastAsia="Arial" w:hAnsi="Arial"/>
          <w:sz w:val="18"/>
          <w:szCs w:val="18"/>
          <w:color w:val="auto"/>
        </w:rPr>
        <w:t>The following pro forma amounts reflect adjustments for purchases made by us from Childrenswear, licensing royalties paid to us by Childrenswear, amortization of the non-compete agreements, lost interest income on the cash used for the purchase and the income tax effect based upon an unaudited pro forma effective tax rate of 35.5% in Fiscal 2005 and Fiscal 2004. The unaudited pro forma information gives effect only to adjustments described above and does not reflect management’s estimate of any anticipated cost savings or other benefits as a result of the acquisition. The unaudited pro forma amounts include material nonrecurring charges of approximately $7.4 million included within Cost of goods sold related to the write up to fair value of inventory as part of the preliminary purchase price allocation.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For the Year Ended</w:t>
            </w:r>
          </w:p>
        </w:tc>
        <w:tc>
          <w:tcPr>
            <w:tcW w:w="124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r>
      <w:tr>
        <w:trPr>
          <w:trHeight w:val="156"/>
        </w:trPr>
        <w:tc>
          <w:tcPr>
            <w:tcW w:w="45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April 2, 2005</w:t>
            </w:r>
          </w:p>
        </w:tc>
        <w:tc>
          <w:tcPr>
            <w:tcW w:w="200" w:type="dxa"/>
            <w:vAlign w:val="bottom"/>
          </w:tcPr>
          <w:p>
            <w:pPr>
              <w:spacing w:after="0"/>
              <w:rPr>
                <w:sz w:val="13"/>
                <w:szCs w:val="13"/>
                <w:color w:val="auto"/>
              </w:rPr>
            </w:pPr>
          </w:p>
        </w:tc>
        <w:tc>
          <w:tcPr>
            <w:tcW w:w="124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April 3, 2004</w:t>
            </w:r>
          </w:p>
        </w:tc>
        <w:tc>
          <w:tcPr>
            <w:tcW w:w="720" w:type="dxa"/>
            <w:vAlign w:val="bottom"/>
          </w:tcPr>
          <w:p>
            <w:pPr>
              <w:spacing w:after="0"/>
              <w:rPr>
                <w:sz w:val="13"/>
                <w:szCs w:val="13"/>
                <w:color w:val="auto"/>
              </w:rPr>
            </w:pPr>
          </w:p>
        </w:tc>
      </w:tr>
      <w:tr>
        <w:trPr>
          <w:trHeight w:val="156"/>
        </w:trPr>
        <w:tc>
          <w:tcPr>
            <w:tcW w:w="45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438"/>
              <w:spacing w:after="0" w:line="155" w:lineRule="exact"/>
              <w:rPr>
                <w:sz w:val="20"/>
                <w:szCs w:val="20"/>
                <w:color w:val="auto"/>
              </w:rPr>
            </w:pPr>
            <w:r>
              <w:rPr>
                <w:rFonts w:ascii="Arial" w:cs="Arial" w:eastAsia="Arial" w:hAnsi="Arial"/>
                <w:sz w:val="14"/>
                <w:szCs w:val="14"/>
                <w:b w:val="1"/>
                <w:bCs w:val="1"/>
                <w:color w:val="auto"/>
              </w:rPr>
              <w:t>Actual</w:t>
            </w:r>
          </w:p>
        </w:tc>
        <w:tc>
          <w:tcPr>
            <w:tcW w:w="10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720" w:type="dxa"/>
            <w:vAlign w:val="bottom"/>
          </w:tcPr>
          <w:p>
            <w:pPr>
              <w:spacing w:after="0"/>
              <w:rPr>
                <w:sz w:val="13"/>
                <w:szCs w:val="13"/>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3,359,168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9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2,858,458</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Net income</w:t>
            </w: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right"/>
              <w:ind w:right="1020"/>
              <w:spacing w:after="0"/>
              <w:rPr>
                <w:sz w:val="20"/>
                <w:szCs w:val="20"/>
                <w:color w:val="auto"/>
              </w:rPr>
            </w:pPr>
            <w:r>
              <w:rPr>
                <w:rFonts w:ascii="Arial" w:cs="Arial" w:eastAsia="Arial" w:hAnsi="Arial"/>
                <w:sz w:val="18"/>
                <w:szCs w:val="18"/>
                <w:color w:val="auto"/>
              </w:rPr>
              <w:t>195,338</w:t>
            </w:r>
          </w:p>
        </w:tc>
        <w:tc>
          <w:tcPr>
            <w:tcW w:w="200" w:type="dxa"/>
            <w:vAlign w:val="bottom"/>
          </w:tcPr>
          <w:p>
            <w:pPr>
              <w:spacing w:after="0"/>
              <w:rPr>
                <w:sz w:val="18"/>
                <w:szCs w:val="18"/>
                <w:color w:val="auto"/>
              </w:rPr>
            </w:pPr>
          </w:p>
        </w:tc>
        <w:tc>
          <w:tcPr>
            <w:tcW w:w="1960" w:type="dxa"/>
            <w:vAlign w:val="bottom"/>
            <w:gridSpan w:val="2"/>
          </w:tcPr>
          <w:p>
            <w:pPr>
              <w:jc w:val="right"/>
              <w:ind w:right="720"/>
              <w:spacing w:after="0"/>
              <w:rPr>
                <w:sz w:val="20"/>
                <w:szCs w:val="20"/>
                <w:color w:val="auto"/>
              </w:rPr>
            </w:pPr>
            <w:r>
              <w:rPr>
                <w:rFonts w:ascii="Arial" w:cs="Arial" w:eastAsia="Arial" w:hAnsi="Arial"/>
                <w:sz w:val="18"/>
                <w:szCs w:val="18"/>
                <w:color w:val="auto"/>
              </w:rPr>
              <w:t>186,164</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2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9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1.88</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2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1020"/>
              <w:spacing w:after="0"/>
              <w:rPr>
                <w:sz w:val="20"/>
                <w:szCs w:val="20"/>
                <w:color w:val="auto"/>
              </w:rPr>
            </w:pPr>
            <w:r>
              <w:rPr>
                <w:rFonts w:ascii="Arial" w:cs="Arial" w:eastAsia="Arial" w:hAnsi="Arial"/>
                <w:sz w:val="18"/>
                <w:szCs w:val="18"/>
                <w:color w:val="auto"/>
              </w:rPr>
              <w:t>1.88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960" w:type="dxa"/>
            <w:vAlign w:val="bottom"/>
            <w:gridSpan w:val="2"/>
          </w:tcPr>
          <w:p>
            <w:pPr>
              <w:jc w:val="right"/>
              <w:ind w:right="720"/>
              <w:spacing w:after="0"/>
              <w:rPr>
                <w:sz w:val="20"/>
                <w:szCs w:val="20"/>
                <w:color w:val="auto"/>
              </w:rPr>
            </w:pPr>
            <w:r>
              <w:rPr>
                <w:rFonts w:ascii="Arial" w:cs="Arial" w:eastAsia="Arial" w:hAnsi="Arial"/>
                <w:sz w:val="18"/>
                <w:szCs w:val="18"/>
                <w:color w:val="auto"/>
              </w:rPr>
              <w:t>1.84</w:t>
            </w:r>
          </w:p>
        </w:tc>
      </w:tr>
    </w:tbl>
    <w:p>
      <w:pPr>
        <w:spacing w:after="0" w:line="79" w:lineRule="exact"/>
        <w:rPr>
          <w:sz w:val="20"/>
          <w:szCs w:val="20"/>
          <w:color w:val="auto"/>
        </w:rPr>
      </w:pPr>
    </w:p>
    <w:p>
      <w:pPr>
        <w:ind w:right="40" w:firstLine="270"/>
        <w:spacing w:after="0" w:line="277" w:lineRule="auto"/>
        <w:rPr>
          <w:sz w:val="20"/>
          <w:szCs w:val="20"/>
          <w:color w:val="auto"/>
        </w:rPr>
      </w:pPr>
      <w:r>
        <w:rPr>
          <w:rFonts w:ascii="Arial" w:cs="Arial" w:eastAsia="Arial" w:hAnsi="Arial"/>
          <w:sz w:val="18"/>
          <w:szCs w:val="18"/>
          <w:color w:val="auto"/>
        </w:rPr>
        <w:t>In November 2003, we acquired a license for the use of trademarks for $7.5 million. This license was accounted for as a finite lived intangible asset and is being amortized over 10 years.</w:t>
      </w:r>
    </w:p>
    <w:p>
      <w:pPr>
        <w:spacing w:after="0" w:line="62" w:lineRule="exact"/>
        <w:rPr>
          <w:sz w:val="20"/>
          <w:szCs w:val="20"/>
          <w:color w:val="auto"/>
        </w:rPr>
      </w:pPr>
    </w:p>
    <w:p>
      <w:pPr>
        <w:jc w:val="both"/>
        <w:ind w:right="60" w:firstLine="270"/>
        <w:spacing w:after="0" w:line="259" w:lineRule="auto"/>
        <w:rPr>
          <w:sz w:val="20"/>
          <w:szCs w:val="20"/>
          <w:color w:val="auto"/>
        </w:rPr>
      </w:pPr>
      <w:r>
        <w:rPr>
          <w:rFonts w:ascii="Arial" w:cs="Arial" w:eastAsia="Arial" w:hAnsi="Arial"/>
          <w:sz w:val="18"/>
          <w:szCs w:val="18"/>
          <w:color w:val="auto"/>
        </w:rPr>
        <w:t>In February 2003, we acquired a 50% controlling interest in the Japanese master licensee for our men’s, women’s, kids, home and jeans business in Japan for approximately $24.1 million. In connection with this acquisition, we recorded tangible assets of $11.0 million, an intangible license valued at $9.9 million and liabilities assumed of $8.5 million based on estimated fair values as determined by management utilizing information available at the time. At March 29, 2003, goodwill of $13.0 million was recognized for the excess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of the purchase price plus transaction costs of $1.3 million over the preliminary estimate of fair market value of the net assets acquired. During Fiscal 2004, we incurred an additional $3.5 million of transaction costs, which have been included in goodwill, and finalized our accounting for the acquisition, which resulted in our recording an additional $0.5 million of goodwill.</w:t>
      </w:r>
    </w:p>
    <w:p>
      <w:pPr>
        <w:spacing w:after="0" w:line="73" w:lineRule="exact"/>
        <w:rPr>
          <w:sz w:val="20"/>
          <w:szCs w:val="20"/>
          <w:color w:val="auto"/>
        </w:rPr>
      </w:pPr>
    </w:p>
    <w:p>
      <w:pPr>
        <w:ind w:right="100" w:firstLine="260"/>
        <w:spacing w:after="0" w:line="257" w:lineRule="auto"/>
        <w:rPr>
          <w:sz w:val="20"/>
          <w:szCs w:val="20"/>
          <w:color w:val="auto"/>
        </w:rPr>
      </w:pPr>
      <w:r>
        <w:rPr>
          <w:rFonts w:ascii="Arial" w:cs="Arial" w:eastAsia="Arial" w:hAnsi="Arial"/>
          <w:sz w:val="18"/>
          <w:szCs w:val="18"/>
          <w:color w:val="auto"/>
        </w:rPr>
        <w:t>All of the revenues and expenses for the Japanese master licensee are included in the Company’s consolidated statements of operations because management has concluded that certain rights granted to us in the stockholders agreement give us perpetual legal control over our Japanese master licensee. For the years ended April 2, 2005 and April 3, 2004, we have recorded minority interest expense of $3.8 million and $1.4 million, respectively, to reflect the share of earnings allocable to the 50% minority interest holder in the Japanese master license. This amount is included in Other (income) expense, net in the Consolidated Statements of Income.</w:t>
      </w:r>
    </w:p>
    <w:p>
      <w:pPr>
        <w:spacing w:after="0" w:line="80" w:lineRule="exact"/>
        <w:rPr>
          <w:sz w:val="20"/>
          <w:szCs w:val="20"/>
          <w:color w:val="auto"/>
        </w:rPr>
      </w:pPr>
    </w:p>
    <w:p>
      <w:pPr>
        <w:jc w:val="both"/>
        <w:ind w:right="100" w:firstLine="260"/>
        <w:spacing w:after="0" w:line="259" w:lineRule="auto"/>
        <w:rPr>
          <w:sz w:val="20"/>
          <w:szCs w:val="20"/>
          <w:color w:val="auto"/>
        </w:rPr>
      </w:pPr>
      <w:r>
        <w:rPr>
          <w:rFonts w:ascii="Arial" w:cs="Arial" w:eastAsia="Arial" w:hAnsi="Arial"/>
          <w:sz w:val="18"/>
          <w:szCs w:val="18"/>
          <w:color w:val="auto"/>
        </w:rPr>
        <w:t>Also, in February 2003, we acquired an 18% equity interest in the company which holds the sublicenses for the Polo Ralph Lauren men’s, women’s and jeans business in Japan for approximately $47.6 million. In May 2003, we paid $5.4 million to acquire an additional 2% equity interest in this company. For Fiscal 2005 and Fiscal 2004, we recorded $6.4 million and $5.5 million, respectively, of equity investment income related to this investment. This amount is included in Other (income) expense, net in the Consolidated Statements of Income.</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Results for our Japanese interests are reported on a one-month lag.</w:t>
      </w:r>
    </w:p>
    <w:p>
      <w:pPr>
        <w:spacing w:after="0" w:line="117" w:lineRule="exact"/>
        <w:rPr>
          <w:sz w:val="20"/>
          <w:szCs w:val="20"/>
          <w:color w:val="auto"/>
        </w:rPr>
      </w:pPr>
    </w:p>
    <w:p>
      <w:pPr>
        <w:ind w:right="220" w:firstLine="270"/>
        <w:spacing w:after="0" w:line="277" w:lineRule="auto"/>
        <w:rPr>
          <w:sz w:val="20"/>
          <w:szCs w:val="20"/>
          <w:color w:val="auto"/>
        </w:rPr>
      </w:pPr>
      <w:r>
        <w:rPr>
          <w:rFonts w:ascii="Arial" w:cs="Arial" w:eastAsia="Arial" w:hAnsi="Arial"/>
          <w:sz w:val="18"/>
          <w:szCs w:val="18"/>
          <w:color w:val="auto"/>
        </w:rPr>
        <w:t>During Fiscal 2003, we acquired several retail locations from certain of our licensees in Belgium, Germany, and Argentina for a total purchase price of $4.6 million.</w:t>
      </w:r>
    </w:p>
    <w:p>
      <w:pPr>
        <w:spacing w:after="0" w:line="62" w:lineRule="exact"/>
        <w:rPr>
          <w:sz w:val="20"/>
          <w:szCs w:val="20"/>
          <w:color w:val="auto"/>
        </w:rPr>
      </w:pPr>
    </w:p>
    <w:p>
      <w:pPr>
        <w:ind w:right="660" w:firstLine="260"/>
        <w:spacing w:after="0" w:line="308" w:lineRule="auto"/>
        <w:rPr>
          <w:sz w:val="20"/>
          <w:szCs w:val="20"/>
          <w:color w:val="auto"/>
        </w:rPr>
      </w:pPr>
      <w:r>
        <w:rPr>
          <w:rFonts w:ascii="Arial" w:cs="Arial" w:eastAsia="Arial" w:hAnsi="Arial"/>
          <w:sz w:val="17"/>
          <w:szCs w:val="17"/>
          <w:color w:val="auto"/>
        </w:rPr>
        <w:t>At April 2, 2005, the Company’s accounting for the Fiscal 2003 acquisitions has been finalized. Unaudited proforma information related to these acquisitions is not included since the impact of these transactions are not material to the consolidated results of the Company.</w:t>
      </w:r>
    </w:p>
    <w:p>
      <w:pPr>
        <w:spacing w:after="0" w:line="38" w:lineRule="exact"/>
        <w:rPr>
          <w:sz w:val="20"/>
          <w:szCs w:val="20"/>
          <w:color w:val="auto"/>
        </w:rPr>
      </w:pPr>
    </w:p>
    <w:p>
      <w:pPr>
        <w:ind w:firstLine="270"/>
        <w:spacing w:after="0" w:line="269" w:lineRule="auto"/>
        <w:rPr>
          <w:sz w:val="20"/>
          <w:szCs w:val="20"/>
          <w:color w:val="auto"/>
        </w:rPr>
      </w:pPr>
      <w:r>
        <w:rPr>
          <w:rFonts w:ascii="Arial" w:cs="Arial" w:eastAsia="Arial" w:hAnsi="Arial"/>
          <w:sz w:val="17"/>
          <w:szCs w:val="17"/>
          <w:color w:val="auto"/>
        </w:rPr>
        <w:t>On February 7, 2000, we announced the formation of Ralph Lauren Media, LLC (“RL Media”), a joint venture between National Broadcasting Company, Inc. and certain affiliated companies (“NBC”) and ourselves. RL Media was created to bring our American lifestyle experience to consumers via multiple media platforms, including the Internet, broadcast, cable and print. Under the 30-year joint venture agreement, RL Media is owned 50% by us and 50% by NBC. In exchange for a 50% interest, we provide marketing through our annual print advertising campaign, make our merchandise available at initial cost of inventory and sell RL Media’s excess inventory through our outlet stores, among other things. NBC contributed $40.0 million in online distribution and promotion and a cash funding commitment up to $50.0 million. NBC also initially committed to contribute $110.0 million of television and online advertising. During Fiscal 2003, RL Media entered into an agreement to sell its unused television and advertising spots for $15.0 million. Under the terms of the joint venture agreement we will not absorb any losses from the joint venture which were not funded with cash capital contributions and will share proportionately in the net income or losses thereafter. Additionally, we will receive a royalty on the sale of our products by RL Media based on specified percentages of net sales over a predetermined threshold, subject to certain limitations; to date, no such royalty income has been recognized. RL Media’s managing board has equal representation from NBC and us.</w:t>
      </w:r>
    </w:p>
    <w:p>
      <w:pPr>
        <w:spacing w:after="0" w:line="75" w:lineRule="exact"/>
        <w:rPr>
          <w:sz w:val="20"/>
          <w:szCs w:val="20"/>
          <w:color w:val="auto"/>
        </w:rPr>
      </w:pPr>
    </w:p>
    <w:p>
      <w:pPr>
        <w:ind w:firstLine="267"/>
        <w:spacing w:after="0" w:line="312" w:lineRule="auto"/>
        <w:rPr>
          <w:sz w:val="20"/>
          <w:szCs w:val="20"/>
          <w:color w:val="auto"/>
        </w:rPr>
      </w:pPr>
      <w:r>
        <w:rPr>
          <w:rFonts w:ascii="Arial" w:cs="Arial" w:eastAsia="Arial" w:hAnsi="Arial"/>
          <w:sz w:val="16"/>
          <w:szCs w:val="16"/>
          <w:color w:val="auto"/>
        </w:rPr>
        <w:t>Through April 2, 2004, the Company used the equity method of accounting for this investment. Under FIN 46R, we now consolidate RL Media into our consolidated financial statements on a one quarter lag. For the year ended April 2, 2005 we recorded $4.2 million of minority interest expense associated with the non-controlling equity interest. This amount is included in the Consolidated Statement of Income in the Other (expense) income caption.</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gridSpan w:val="2"/>
          </w:tcPr>
          <w:p>
            <w:pPr>
              <w:spacing w:after="0"/>
              <w:rPr>
                <w:sz w:val="20"/>
                <w:szCs w:val="20"/>
                <w:color w:val="auto"/>
              </w:rPr>
            </w:pPr>
            <w:r>
              <w:rPr>
                <w:rFonts w:ascii="Arial" w:cs="Arial" w:eastAsia="Arial" w:hAnsi="Arial"/>
                <w:sz w:val="18"/>
                <w:szCs w:val="18"/>
                <w:b w:val="1"/>
                <w:bCs w:val="1"/>
                <w:color w:val="auto"/>
              </w:rPr>
              <w:t>5.</w:t>
            </w:r>
          </w:p>
        </w:tc>
        <w:tc>
          <w:tcPr>
            <w:tcW w:w="7480" w:type="dxa"/>
            <w:vAlign w:val="bottom"/>
          </w:tcPr>
          <w:p>
            <w:pPr>
              <w:ind w:left="240"/>
              <w:spacing w:after="0"/>
              <w:rPr>
                <w:sz w:val="20"/>
                <w:szCs w:val="20"/>
                <w:color w:val="auto"/>
              </w:rPr>
            </w:pPr>
            <w:r>
              <w:rPr>
                <w:rFonts w:ascii="Arial" w:cs="Arial" w:eastAsia="Arial" w:hAnsi="Arial"/>
                <w:sz w:val="18"/>
                <w:szCs w:val="18"/>
                <w:b w:val="1"/>
                <w:bCs w:val="1"/>
                <w:color w:val="auto"/>
              </w:rPr>
              <w:t>Inventories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Inventories are summarized as follows: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47"/>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gridSpan w:val="3"/>
          </w:tcPr>
          <w:p>
            <w:pPr>
              <w:ind w:left="140"/>
              <w:spacing w:after="0"/>
              <w:rPr>
                <w:sz w:val="20"/>
                <w:szCs w:val="20"/>
                <w:color w:val="auto"/>
              </w:rPr>
            </w:pPr>
            <w:r>
              <w:rPr>
                <w:rFonts w:ascii="Arial" w:cs="Arial" w:eastAsia="Arial" w:hAnsi="Arial"/>
                <w:sz w:val="14"/>
                <w:szCs w:val="14"/>
                <w:b w:val="1"/>
                <w:bCs w:val="1"/>
                <w:color w:val="auto"/>
              </w:rPr>
              <w:t>April 2,</w:t>
            </w:r>
          </w:p>
        </w:tc>
        <w:tc>
          <w:tcPr>
            <w:tcW w:w="200" w:type="dxa"/>
            <w:vAlign w:val="bottom"/>
          </w:tcPr>
          <w:p>
            <w:pPr>
              <w:spacing w:after="0"/>
              <w:rPr>
                <w:sz w:val="21"/>
                <w:szCs w:val="21"/>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w:t>
            </w:r>
          </w:p>
        </w:tc>
      </w:tr>
      <w:tr>
        <w:trPr>
          <w:trHeight w:val="178"/>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5,276</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5,516</w:t>
            </w: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8,283</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4,669</w:t>
            </w: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416,523</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362,985</w:t>
            </w: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430,082</w:t>
            </w:r>
          </w:p>
        </w:tc>
        <w:tc>
          <w:tcPr>
            <w:tcW w:w="2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373,170</w:t>
            </w:r>
          </w:p>
        </w:tc>
        <w:tc>
          <w:tcPr>
            <w:tcW w:w="5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6.</w:t>
        <w:tab/>
        <w:t>Property and Equipment, Net</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Property and equipment, net consisted of the following: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April 2,</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April 3,</w:t>
            </w:r>
          </w:p>
        </w:tc>
      </w:tr>
      <w:tr>
        <w:trPr>
          <w:trHeight w:val="178"/>
        </w:trPr>
        <w:tc>
          <w:tcPr>
            <w:tcW w:w="2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260" w:type="dxa"/>
            <w:vAlign w:val="bottom"/>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9,925</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3,725</w:t>
            </w: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Buildings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19,006</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18,540</w:t>
            </w: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402,711</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345,668</w:t>
            </w: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211,408</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187,073</w:t>
            </w: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409,916</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352,413</w:t>
            </w: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1,052,966</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907,419</w:t>
            </w:r>
          </w:p>
        </w:tc>
        <w:tc>
          <w:tcPr>
            <w:tcW w:w="5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565,072</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498,678</w:t>
            </w: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487,894</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408,741</w:t>
            </w:r>
          </w:p>
        </w:tc>
        <w:tc>
          <w:tcPr>
            <w:tcW w:w="5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80" w:firstLine="270"/>
        <w:spacing w:after="0" w:line="277" w:lineRule="auto"/>
        <w:rPr>
          <w:sz w:val="20"/>
          <w:szCs w:val="20"/>
          <w:color w:val="auto"/>
        </w:rPr>
      </w:pPr>
      <w:r>
        <w:rPr>
          <w:rFonts w:ascii="Arial" w:cs="Arial" w:eastAsia="Arial" w:hAnsi="Arial"/>
          <w:sz w:val="18"/>
          <w:szCs w:val="18"/>
          <w:color w:val="auto"/>
        </w:rPr>
        <w:t>Depreciation and amortization expense of property and equipment was $99.9 million, $84.4 million and $80.6 million for Fiscal 2005, Fiscal 2004 and Fiscal 2003, respectively.</w:t>
      </w:r>
    </w:p>
    <w:p>
      <w:pPr>
        <w:spacing w:after="0" w:line="166"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21"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Effective March 31, 2002, the Company adopted SFAS No. 142. This accounting standard requires that goodwill and indefinite lived intangible assets are no longer amortized but are subject to annual impairment tests. Other intangible assets with finite lives will continue to be amortized over their useful lives. The transitional impairment tests were completed and did not result in an impairment charge. We completed our annual impairment test as of the first day of the second quarter of Fiscal 2005. As a result of this test, no impairment was recognized.</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carrying value of goodwill as of April 2, 2005 and April 3, 2004 by operating segment is as follows (Dollars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5"/>
              </w:rPr>
              <w:t>Wholesale</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9"/>
              </w:rPr>
              <w:t>Retail</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4"/>
              </w:rPr>
              <w:t>Licensing</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 2004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151.1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116.5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341.6</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Purchases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209.6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209.6</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and other adjustments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w:t>
            </w: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color w:val="auto"/>
              </w:rPr>
              <w:t>Balance at April 2, 2005</w:t>
            </w:r>
          </w:p>
        </w:tc>
        <w:tc>
          <w:tcPr>
            <w:tcW w:w="1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367.9</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558.9</w:t>
            </w:r>
          </w:p>
        </w:tc>
        <w:tc>
          <w:tcPr>
            <w:tcW w:w="2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F-22</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452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360" w:firstLine="267"/>
        <w:spacing w:after="0" w:line="277" w:lineRule="auto"/>
        <w:rPr>
          <w:sz w:val="20"/>
          <w:szCs w:val="20"/>
          <w:color w:val="auto"/>
        </w:rPr>
      </w:pPr>
      <w:r>
        <w:rPr>
          <w:rFonts w:ascii="Arial" w:cs="Arial" w:eastAsia="Arial" w:hAnsi="Arial"/>
          <w:sz w:val="18"/>
          <w:szCs w:val="18"/>
          <w:color w:val="auto"/>
        </w:rPr>
        <w:t>The carrying value of indefinite lived intangible assets as of April 2, 2005 was $1.5 million and relates to the Company’s owned trademark. Finite life intangible assets as of April 2, 2005 and April 3, 2004, subject to amortization, are comprised of the following:</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April 2, 2005</w:t>
            </w:r>
          </w:p>
        </w:tc>
        <w:tc>
          <w:tcPr>
            <w:tcW w:w="7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April 3, 2004</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96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1"/>
                <w:szCs w:val="11"/>
                <w:color w:val="auto"/>
              </w:rPr>
            </w:pPr>
          </w:p>
        </w:tc>
        <w:tc>
          <w:tcPr>
            <w:tcW w:w="11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Accum.</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1"/>
                <w:szCs w:val="11"/>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Accum.</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Carrying</w:t>
            </w:r>
          </w:p>
        </w:tc>
        <w:tc>
          <w:tcPr>
            <w:tcW w:w="2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7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Net</w:t>
            </w:r>
          </w:p>
        </w:tc>
        <w:tc>
          <w:tcPr>
            <w:tcW w:w="420" w:type="dxa"/>
            <w:vAlign w:val="bottom"/>
            <w:vMerge w:val="restart"/>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Net</w:t>
            </w:r>
          </w:p>
        </w:tc>
        <w:tc>
          <w:tcPr>
            <w:tcW w:w="420" w:type="dxa"/>
            <w:vAlign w:val="bottom"/>
            <w:vMerge w:val="restart"/>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Amort.</w:t>
            </w:r>
          </w:p>
        </w:tc>
        <w:tc>
          <w:tcPr>
            <w:tcW w:w="42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Amort.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9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Lives</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Licensed trademarks</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  17,400</w:t>
            </w:r>
          </w:p>
        </w:tc>
        <w:tc>
          <w:tcPr>
            <w:tcW w:w="14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(3,125)</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  14,275</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  17,400</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(1,260)</w:t>
            </w:r>
          </w:p>
        </w:tc>
        <w:tc>
          <w:tcPr>
            <w:tcW w:w="13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16,140</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Non-compete agreements</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2,500</w:t>
            </w: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(625)</w:t>
            </w:r>
          </w:p>
        </w:tc>
        <w:tc>
          <w:tcPr>
            <w:tcW w:w="740" w:type="dxa"/>
            <w:vAlign w:val="bottom"/>
          </w:tcPr>
          <w:p>
            <w:pPr>
              <w:jc w:val="right"/>
              <w:spacing w:after="0"/>
              <w:rPr>
                <w:sz w:val="20"/>
                <w:szCs w:val="20"/>
                <w:color w:val="auto"/>
              </w:rPr>
            </w:pPr>
            <w:r>
              <w:rPr>
                <w:rFonts w:ascii="Arial" w:cs="Arial" w:eastAsia="Arial" w:hAnsi="Arial"/>
                <w:sz w:val="18"/>
                <w:szCs w:val="18"/>
                <w:color w:val="auto"/>
              </w:rPr>
              <w:t>1,875</w:t>
            </w: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29,900</w:t>
            </w:r>
          </w:p>
        </w:tc>
        <w:tc>
          <w:tcPr>
            <w:tcW w:w="14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(897)</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29,003</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Rugby.com</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353</w:t>
            </w: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(12)</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341</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320" w:firstLine="270"/>
        <w:spacing w:after="0" w:line="264" w:lineRule="auto"/>
        <w:rPr>
          <w:sz w:val="20"/>
          <w:szCs w:val="20"/>
          <w:color w:val="auto"/>
        </w:rPr>
      </w:pPr>
      <w:r>
        <w:rPr>
          <w:rFonts w:ascii="Arial" w:cs="Arial" w:eastAsia="Arial" w:hAnsi="Arial"/>
          <w:sz w:val="18"/>
          <w:szCs w:val="18"/>
          <w:color w:val="auto"/>
        </w:rPr>
        <w:t>Intangible amortization expense was $3.4 million for the year ended April 2, 2005. The estimated intangible amortization expense for each of the following five years is expected to be approximately $3.8 million for the next two years, $3.2 million for the third year and $3.0 million for the fourth and fifth years.</w:t>
      </w:r>
    </w:p>
    <w:p>
      <w:pPr>
        <w:spacing w:after="0" w:line="177"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Other Assets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assets consisted of the following: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3"/>
          </w:tcPr>
          <w:p>
            <w:pPr>
              <w:jc w:val="center"/>
              <w:ind w:right="1100"/>
              <w:spacing w:after="0"/>
              <w:rPr>
                <w:sz w:val="20"/>
                <w:szCs w:val="20"/>
                <w:color w:val="auto"/>
              </w:rPr>
            </w:pPr>
            <w:r>
              <w:rPr>
                <w:rFonts w:ascii="Arial" w:cs="Arial" w:eastAsia="Arial" w:hAnsi="Arial"/>
                <w:sz w:val="14"/>
                <w:szCs w:val="14"/>
                <w:b w:val="1"/>
                <w:bCs w:val="1"/>
                <w:color w:val="auto"/>
                <w:w w:val="96"/>
              </w:rPr>
              <w:t>April 2,</w:t>
            </w:r>
          </w:p>
        </w:tc>
        <w:tc>
          <w:tcPr>
            <w:tcW w:w="200" w:type="dxa"/>
            <w:vAlign w:val="bottom"/>
          </w:tcPr>
          <w:p>
            <w:pPr>
              <w:spacing w:after="0"/>
              <w:rPr>
                <w:sz w:val="14"/>
                <w:szCs w:val="14"/>
                <w:color w:val="auto"/>
              </w:rPr>
            </w:pPr>
          </w:p>
        </w:tc>
        <w:tc>
          <w:tcPr>
            <w:tcW w:w="14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6"/>
              </w:rPr>
              <w:t>April 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6"/>
              </w:rPr>
              <w:t>2004</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interest investment</w:t>
            </w:r>
          </w:p>
        </w:tc>
        <w:tc>
          <w:tcPr>
            <w:tcW w:w="2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61,970</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57,766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Officers’ life insurance</w:t>
            </w: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51,169</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50,250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70,051</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68,859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183,190</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176,875</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w:t>
            </w:r>
          </w:p>
        </w:tc>
        <w:tc>
          <w:tcPr>
            <w:tcW w:w="542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Accrued Expenses and Other</w:t>
            </w:r>
          </w:p>
        </w:tc>
        <w:tc>
          <w:tcPr>
            <w:tcW w:w="2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0" w:type="dxa"/>
            <w:vAlign w:val="bottom"/>
            <w:gridSpan w:val="2"/>
            <w:vMerge w:val="continue"/>
          </w:tcPr>
          <w:p>
            <w:pPr>
              <w:spacing w:after="0"/>
              <w:rPr>
                <w:sz w:val="24"/>
                <w:szCs w:val="24"/>
                <w:color w:val="auto"/>
              </w:rPr>
            </w:pPr>
          </w:p>
        </w:tc>
        <w:tc>
          <w:tcPr>
            <w:tcW w:w="5420" w:type="dxa"/>
            <w:vAlign w:val="bottom"/>
            <w:vMerge w:val="continue"/>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20" w:type="dxa"/>
            <w:vAlign w:val="bottom"/>
          </w:tcPr>
          <w:p>
            <w:pPr>
              <w:ind w:left="60"/>
              <w:spacing w:after="0"/>
              <w:rPr>
                <w:sz w:val="20"/>
                <w:szCs w:val="20"/>
                <w:color w:val="auto"/>
              </w:rPr>
            </w:pPr>
            <w:r>
              <w:rPr>
                <w:rFonts w:ascii="Arial" w:cs="Arial" w:eastAsia="Arial" w:hAnsi="Arial"/>
                <w:sz w:val="18"/>
                <w:szCs w:val="18"/>
                <w:color w:val="auto"/>
              </w:rPr>
              <w:t>Accrued expenses consisted of the following:</w:t>
            </w: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gridSpan w:val="3"/>
          </w:tcPr>
          <w:p>
            <w:pPr>
              <w:jc w:val="center"/>
              <w:ind w:right="1060"/>
              <w:spacing w:after="0"/>
              <w:rPr>
                <w:sz w:val="20"/>
                <w:szCs w:val="20"/>
                <w:color w:val="auto"/>
              </w:rPr>
            </w:pPr>
            <w:r>
              <w:rPr>
                <w:rFonts w:ascii="Arial" w:cs="Arial" w:eastAsia="Arial" w:hAnsi="Arial"/>
                <w:sz w:val="14"/>
                <w:szCs w:val="14"/>
                <w:b w:val="1"/>
                <w:bCs w:val="1"/>
                <w:color w:val="auto"/>
                <w:w w:val="96"/>
              </w:rPr>
              <w:t>April 2,</w:t>
            </w:r>
          </w:p>
        </w:tc>
        <w:tc>
          <w:tcPr>
            <w:tcW w:w="200" w:type="dxa"/>
            <w:vAlign w:val="bottom"/>
          </w:tcPr>
          <w:p>
            <w:pPr>
              <w:spacing w:after="0"/>
              <w:rPr>
                <w:sz w:val="21"/>
                <w:szCs w:val="21"/>
                <w:color w:val="auto"/>
              </w:rPr>
            </w:pPr>
          </w:p>
        </w:tc>
        <w:tc>
          <w:tcPr>
            <w:tcW w:w="14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6"/>
              </w:rPr>
              <w:t>April 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2005</w:t>
            </w:r>
          </w:p>
        </w:tc>
        <w:tc>
          <w:tcPr>
            <w:tcW w:w="20" w:type="dxa"/>
            <w:vAlign w:val="bottom"/>
            <w:tcBorders>
              <w:bottom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6"/>
              </w:rPr>
              <w:t>2004</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operating expenses</w:t>
            </w:r>
          </w:p>
        </w:tc>
        <w:tc>
          <w:tcPr>
            <w:tcW w:w="2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192,196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185,069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Accrued litigation and claims reserves</w:t>
            </w: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3"/>
          </w:tcPr>
          <w:p>
            <w:pPr>
              <w:jc w:val="right"/>
              <w:ind w:right="840"/>
              <w:spacing w:after="0"/>
              <w:rPr>
                <w:sz w:val="20"/>
                <w:szCs w:val="20"/>
                <w:color w:val="auto"/>
              </w:rPr>
            </w:pPr>
            <w:r>
              <w:rPr>
                <w:rFonts w:ascii="Arial" w:cs="Arial" w:eastAsia="Arial" w:hAnsi="Arial"/>
                <w:sz w:val="18"/>
                <w:szCs w:val="18"/>
                <w:color w:val="auto"/>
              </w:rPr>
              <w:t>106,200</w:t>
            </w:r>
          </w:p>
        </w:tc>
        <w:tc>
          <w:tcPr>
            <w:tcW w:w="20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payroll and benefits</w:t>
            </w:r>
          </w:p>
        </w:tc>
        <w:tc>
          <w:tcPr>
            <w:tcW w:w="2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61,660</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38,820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Accrued restructuring charge</w:t>
            </w:r>
          </w:p>
        </w:tc>
        <w:tc>
          <w:tcPr>
            <w:tcW w:w="2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5,812</w:t>
            </w:r>
          </w:p>
        </w:tc>
        <w:tc>
          <w:tcPr>
            <w:tcW w:w="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12,835</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365,868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236,724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80" w:hanging="572"/>
        <w:spacing w:after="0"/>
        <w:tabs>
          <w:tab w:leader="none" w:pos="5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w:t>
      </w:r>
    </w:p>
    <w:p>
      <w:pPr>
        <w:spacing w:after="0" w:line="121" w:lineRule="exact"/>
        <w:rPr>
          <w:sz w:val="20"/>
          <w:szCs w:val="20"/>
          <w:color w:val="auto"/>
        </w:rPr>
      </w:pPr>
    </w:p>
    <w:p>
      <w:pPr>
        <w:ind w:right="140" w:firstLine="270"/>
        <w:spacing w:after="0" w:line="264" w:lineRule="auto"/>
        <w:rPr>
          <w:sz w:val="20"/>
          <w:szCs w:val="20"/>
          <w:color w:val="auto"/>
        </w:rPr>
      </w:pPr>
      <w:r>
        <w:rPr>
          <w:rFonts w:ascii="Arial" w:cs="Arial" w:eastAsia="Arial" w:hAnsi="Arial"/>
          <w:sz w:val="18"/>
          <w:szCs w:val="18"/>
          <w:color w:val="auto"/>
        </w:rPr>
        <w:t>During Fiscal 2004, we decided to close our remaining RRL stores, in connection with this decision we recorded a $0.3 million and $1.3 million restructuring charge for fixed asset write-offs and lease termination costs during Fiscal 2005 and Fiscal 2004, respectively. The remaining reserve balance of $0.6 million is expected to be paid during Fiscal 2006.</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2003 Restructuring Plan</w:t>
      </w:r>
    </w:p>
    <w:p>
      <w:pPr>
        <w:spacing w:after="0" w:line="117" w:lineRule="exact"/>
        <w:rPr>
          <w:sz w:val="20"/>
          <w:szCs w:val="20"/>
          <w:color w:val="auto"/>
        </w:rPr>
      </w:pPr>
    </w:p>
    <w:p>
      <w:pPr>
        <w:ind w:right="220" w:firstLine="270"/>
        <w:spacing w:after="0" w:line="255" w:lineRule="auto"/>
        <w:rPr>
          <w:sz w:val="20"/>
          <w:szCs w:val="20"/>
          <w:color w:val="auto"/>
        </w:rPr>
      </w:pPr>
      <w:r>
        <w:rPr>
          <w:rFonts w:ascii="Arial" w:cs="Arial" w:eastAsia="Arial" w:hAnsi="Arial"/>
          <w:sz w:val="18"/>
          <w:szCs w:val="18"/>
          <w:color w:val="auto"/>
        </w:rPr>
        <w:t>During the third quarter of Fiscal 2003, we completed a strategic review of our European businesses and formalized our plans to centralize and more efficiently consolidate its business operations. The major initiatives of the plan included the following: consolidation of our headquarters from five cities in three countries to one location; the consolidation of our European logistics operations to Italy; and the migration of all European information systems to a standard global system. In connection with the implementation of this plan, the Company has recorded a restructuring charge of $2.1 million during Fiscal 2005 and $7.9 million during Fiscal 2004 for severance and contract termination costs. The $2.1 million represents the additional liability for employees notified of their termination and properties we ceased using during Fiscal 2005. The major components of the charge and the activity through April 2, 2005 were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1"/>
              </w:rPr>
              <w:t>Severance and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0"/>
              </w:rPr>
              <w:t>Lease and</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97"/>
              </w:rPr>
              <w:t>Other Contract</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7"/>
              </w:rPr>
              <w:t>Termination</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200" w:type="dxa"/>
            <w:vAlign w:val="bottom"/>
          </w:tcPr>
          <w:p>
            <w:pPr>
              <w:spacing w:after="0"/>
              <w:rPr>
                <w:sz w:val="12"/>
                <w:szCs w:val="12"/>
                <w:color w:val="auto"/>
              </w:rPr>
            </w:pPr>
          </w:p>
        </w:tc>
        <w:tc>
          <w:tcPr>
            <w:tcW w:w="7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3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0"/>
              </w:rPr>
              <w:t>Benefits</w:t>
            </w: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7"/>
              </w:rPr>
              <w:t>Costs</w:t>
            </w:r>
          </w:p>
        </w:tc>
        <w:tc>
          <w:tcPr>
            <w:tcW w:w="9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Fiscal 2003 provision</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11,876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Fiscal 2003 spending</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(3,777)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(3,777)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29, 2003</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8,099</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Fiscal 2004 provision</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480"/>
              <w:spacing w:after="0"/>
              <w:rPr>
                <w:sz w:val="20"/>
                <w:szCs w:val="20"/>
                <w:color w:val="auto"/>
              </w:rPr>
            </w:pPr>
            <w:r>
              <w:rPr>
                <w:rFonts w:ascii="Arial" w:cs="Arial" w:eastAsia="Arial" w:hAnsi="Arial"/>
                <w:sz w:val="18"/>
                <w:szCs w:val="18"/>
                <w:color w:val="auto"/>
              </w:rPr>
              <w:t>7,104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right"/>
              <w:ind w:right="900"/>
              <w:spacing w:after="0"/>
              <w:rPr>
                <w:sz w:val="20"/>
                <w:szCs w:val="20"/>
                <w:color w:val="auto"/>
              </w:rPr>
            </w:pPr>
            <w:r>
              <w:rPr>
                <w:rFonts w:ascii="Arial" w:cs="Arial" w:eastAsia="Arial" w:hAnsi="Arial"/>
                <w:sz w:val="18"/>
                <w:szCs w:val="18"/>
                <w:color w:val="auto"/>
              </w:rPr>
              <w:t>757</w:t>
            </w:r>
          </w:p>
        </w:tc>
        <w:tc>
          <w:tcPr>
            <w:tcW w:w="2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Fiscal 2004 spending</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(11,887)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(1,465)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(13,352)</w:t>
            </w:r>
          </w:p>
        </w:tc>
        <w:tc>
          <w:tcPr>
            <w:tcW w:w="0" w:type="dxa"/>
            <w:vAlign w:val="bottom"/>
          </w:tcPr>
          <w:p>
            <w:pPr>
              <w:spacing w:after="0"/>
              <w:rPr>
                <w:sz w:val="1"/>
                <w:szCs w:val="1"/>
                <w:color w:val="auto"/>
              </w:rPr>
            </w:pPr>
          </w:p>
        </w:tc>
      </w:tr>
      <w:tr>
        <w:trPr>
          <w:trHeight w:val="223"/>
        </w:trPr>
        <w:tc>
          <w:tcPr>
            <w:tcW w:w="3860" w:type="dxa"/>
            <w:vAlign w:val="bottom"/>
            <w:gridSpan w:val="2"/>
          </w:tcPr>
          <w:p>
            <w:pPr>
              <w:spacing w:after="0"/>
              <w:rPr>
                <w:sz w:val="20"/>
                <w:szCs w:val="20"/>
                <w:color w:val="auto"/>
              </w:rPr>
            </w:pPr>
            <w:r>
              <w:rPr>
                <w:rFonts w:ascii="Arial" w:cs="Arial" w:eastAsia="Arial" w:hAnsi="Arial"/>
                <w:sz w:val="18"/>
                <w:szCs w:val="18"/>
                <w:color w:val="auto"/>
              </w:rPr>
              <w:t>Balance at April 3, 2004</w:t>
            </w:r>
          </w:p>
        </w:tc>
        <w:tc>
          <w:tcPr>
            <w:tcW w:w="19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3,316</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1,859</w:t>
            </w:r>
          </w:p>
        </w:tc>
        <w:tc>
          <w:tcPr>
            <w:tcW w:w="9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Fiscal 2005 provision</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2,067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Fiscal 2005 spending</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(5,242)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right"/>
              <w:ind w:right="840"/>
              <w:spacing w:after="0"/>
              <w:rPr>
                <w:sz w:val="20"/>
                <w:szCs w:val="20"/>
                <w:color w:val="auto"/>
              </w:rPr>
            </w:pPr>
            <w:r>
              <w:rPr>
                <w:rFonts w:ascii="Arial" w:cs="Arial" w:eastAsia="Arial" w:hAnsi="Arial"/>
                <w:sz w:val="18"/>
                <w:szCs w:val="18"/>
                <w:color w:val="auto"/>
              </w:rPr>
              <w:t>(968)</w:t>
            </w:r>
          </w:p>
        </w:tc>
        <w:tc>
          <w:tcPr>
            <w:tcW w:w="2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(6,210)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2, 2005</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891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right="20" w:firstLine="267"/>
        <w:spacing w:after="0" w:line="264" w:lineRule="auto"/>
        <w:rPr>
          <w:sz w:val="20"/>
          <w:szCs w:val="20"/>
          <w:color w:val="auto"/>
        </w:rPr>
      </w:pPr>
      <w:r>
        <w:rPr>
          <w:rFonts w:ascii="Arial" w:cs="Arial" w:eastAsia="Arial" w:hAnsi="Arial"/>
          <w:sz w:val="18"/>
          <w:szCs w:val="18"/>
          <w:color w:val="auto"/>
        </w:rPr>
        <w:t>Total severance and termination benefits as a result of this restructuring related to approximately 160 employees. Total cash outlays related to this plan of approximately $23.3 million have been paid through April 2, 2005. It is expected that this plan will be completed, and the remaining liabilities will be paid, in accordance with contract terms.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2001 Operational Plan</w:t>
      </w:r>
    </w:p>
    <w:p>
      <w:pPr>
        <w:spacing w:after="0" w:line="121" w:lineRule="exact"/>
        <w:rPr>
          <w:sz w:val="20"/>
          <w:szCs w:val="20"/>
          <w:color w:val="auto"/>
        </w:rPr>
      </w:pPr>
    </w:p>
    <w:p>
      <w:pPr>
        <w:ind w:right="80" w:firstLine="270"/>
        <w:spacing w:after="0" w:line="257" w:lineRule="auto"/>
        <w:rPr>
          <w:sz w:val="20"/>
          <w:szCs w:val="20"/>
          <w:color w:val="auto"/>
        </w:rPr>
      </w:pPr>
      <w:r>
        <w:rPr>
          <w:rFonts w:ascii="Arial" w:cs="Arial" w:eastAsia="Arial" w:hAnsi="Arial"/>
          <w:sz w:val="18"/>
          <w:szCs w:val="18"/>
          <w:color w:val="auto"/>
        </w:rPr>
        <w:t>During the second quarter of Fiscal 2001, we completed an internal operational review and formalized our plans to enhance the growth of our worldwide luxury retail business, to better manage inventory and to increase our overall profitability. The major initiatives of the 2001 Operational Plan included: refining our retail strategy; developing efficiencies in our supply chain; and consolidating corporate strategic business functions and internal processes. Costs associated with this aspect of the 2001 Operational Plan included lease and contract termination costs, store fixed asset writedowns and severance and termination benefits.</w:t>
      </w:r>
    </w:p>
    <w:p>
      <w:pPr>
        <w:spacing w:after="0" w:line="80"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In connection with the implementation of the 2001 Operational Plan, we recorded a pre-tax restructuring charge of $128.6 million in our second quarter of Fiscal 2001. This charge was subsequently adjusted for a $5.0 million reduction of liabilities in the fourth quarter of Fiscal 2001 and a $16.0 million increase in the fourth quarter of Fiscal 2002 for lease termination costs associated with the closure of our retail stores. During Fiscal 2004, a $10.4 million increase was recorded due to market factors that were less favorable than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originally estimated. The major components of the charge and the activity through April 2, 2005,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1"/>
              </w:rPr>
              <w:t>Severance and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0"/>
              </w:rPr>
              <w:t>Lease and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7"/>
              </w:rPr>
              <w:t>Contract</w:t>
            </w:r>
          </w:p>
        </w:tc>
        <w:tc>
          <w:tcPr>
            <w:tcW w:w="100" w:type="dxa"/>
            <w:vAlign w:val="bottom"/>
          </w:tcPr>
          <w:p>
            <w:pPr>
              <w:spacing w:after="0"/>
              <w:rPr>
                <w:sz w:val="12"/>
                <w:szCs w:val="12"/>
                <w:color w:val="auto"/>
              </w:rPr>
            </w:pPr>
          </w:p>
        </w:tc>
        <w:tc>
          <w:tcPr>
            <w:tcW w:w="8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Total</w:t>
            </w:r>
          </w:p>
        </w:tc>
        <w:tc>
          <w:tcPr>
            <w:tcW w:w="3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0"/>
              </w:rPr>
              <w:t>Benefits</w:t>
            </w: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2"/>
              </w:rPr>
              <w:t>Costs</w:t>
            </w:r>
          </w:p>
        </w:tc>
        <w:tc>
          <w:tcPr>
            <w:tcW w:w="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2"/>
              </w:rPr>
              <w:t>Costs</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4,169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2002 spending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(2,150)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740"/>
              <w:spacing w:after="0"/>
              <w:rPr>
                <w:sz w:val="20"/>
                <w:szCs w:val="20"/>
                <w:color w:val="auto"/>
              </w:rPr>
            </w:pPr>
            <w:r>
              <w:rPr>
                <w:rFonts w:ascii="Arial" w:cs="Arial" w:eastAsia="Arial" w:hAnsi="Arial"/>
                <w:sz w:val="18"/>
                <w:szCs w:val="18"/>
                <w:color w:val="auto"/>
              </w:rPr>
              <w:t>(6,014)</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(8,931)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Additional provision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16,000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Balance at March 30, 2002</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14,155</w:t>
            </w:r>
          </w:p>
        </w:tc>
        <w:tc>
          <w:tcPr>
            <w:tcW w:w="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14,962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2003 spending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(9,004)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(9,811)</w:t>
            </w: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Balance at March 29, 2003</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5,151</w:t>
            </w:r>
          </w:p>
        </w:tc>
        <w:tc>
          <w:tcPr>
            <w:tcW w:w="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Fiscal 2004 provision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10,404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Fiscal 2004 spending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740"/>
              <w:spacing w:after="0"/>
              <w:rPr>
                <w:sz w:val="20"/>
                <w:szCs w:val="20"/>
                <w:color w:val="auto"/>
              </w:rPr>
            </w:pPr>
            <w:r>
              <w:rPr>
                <w:rFonts w:ascii="Arial" w:cs="Arial" w:eastAsia="Arial" w:hAnsi="Arial"/>
                <w:sz w:val="18"/>
                <w:szCs w:val="18"/>
                <w:color w:val="auto"/>
              </w:rPr>
              <w:t>(9,195)</w:t>
            </w: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(9,195)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 2004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6,360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Fiscal 2005 provision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Fiscal 2005 spending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(2,294)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Balance at April 2, 2005</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4,066</w:t>
            </w:r>
          </w:p>
        </w:tc>
        <w:tc>
          <w:tcPr>
            <w:tcW w:w="8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300" w:firstLine="267"/>
        <w:spacing w:after="0" w:line="259" w:lineRule="auto"/>
        <w:rPr>
          <w:sz w:val="20"/>
          <w:szCs w:val="20"/>
          <w:color w:val="auto"/>
        </w:rPr>
      </w:pPr>
      <w:r>
        <w:rPr>
          <w:rFonts w:ascii="Arial" w:cs="Arial" w:eastAsia="Arial" w:hAnsi="Arial"/>
          <w:sz w:val="18"/>
          <w:szCs w:val="18"/>
          <w:color w:val="auto"/>
        </w:rPr>
        <w:t>Total severance and termination benefits as a result of the 2001 Operational Plan related to approximately 550 employees, all of whom have been terminated. Total cash outlays related to the 2001 Operational Plan are expected to be approximately $51.2 million, $47.0 million of which have been paid through April 2, 2005. We completed the implementation of the 2001 Operational Plan in Fiscal 2002 and expect to settle the remaining liabilities in accordance with contract terms.</w:t>
      </w:r>
    </w:p>
    <w:p>
      <w:pPr>
        <w:spacing w:after="0" w:line="183" w:lineRule="exact"/>
        <w:rPr>
          <w:sz w:val="20"/>
          <w:szCs w:val="20"/>
          <w:color w:val="auto"/>
        </w:rPr>
      </w:pPr>
    </w:p>
    <w:p>
      <w:pPr>
        <w:ind w:left="580" w:hanging="572"/>
        <w:spacing w:after="0"/>
        <w:tabs>
          <w:tab w:leader="none" w:pos="5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 and its U.S. subsidiaries file a consolidated Federal Income tax return. The components of the provision for income taxes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2"/>
              </w:rPr>
              <w:t>Fiscal Year Ended</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right"/>
              <w:ind w:right="660"/>
              <w:spacing w:after="0" w:line="133" w:lineRule="exact"/>
              <w:rPr>
                <w:sz w:val="20"/>
                <w:szCs w:val="20"/>
                <w:color w:val="auto"/>
              </w:rPr>
            </w:pPr>
            <w:r>
              <w:rPr>
                <w:rFonts w:ascii="Arial" w:cs="Arial" w:eastAsia="Arial" w:hAnsi="Arial"/>
                <w:sz w:val="14"/>
                <w:szCs w:val="14"/>
                <w:b w:val="1"/>
                <w:bCs w:val="1"/>
                <w:color w:val="auto"/>
              </w:rPr>
              <w:t>April 2,</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2"/>
          </w:tcPr>
          <w:p>
            <w:pPr>
              <w:jc w:val="center"/>
              <w:ind w:right="900"/>
              <w:spacing w:after="0" w:line="133" w:lineRule="exact"/>
              <w:rPr>
                <w:sz w:val="20"/>
                <w:szCs w:val="20"/>
                <w:color w:val="auto"/>
              </w:rPr>
            </w:pPr>
            <w:r>
              <w:rPr>
                <w:rFonts w:ascii="Arial" w:cs="Arial" w:eastAsia="Arial" w:hAnsi="Arial"/>
                <w:sz w:val="14"/>
                <w:szCs w:val="14"/>
                <w:b w:val="1"/>
                <w:bCs w:val="1"/>
                <w:color w:val="auto"/>
              </w:rPr>
              <w:t>April 3,</w:t>
            </w:r>
          </w:p>
        </w:tc>
        <w:tc>
          <w:tcPr>
            <w:tcW w:w="160" w:type="dxa"/>
            <w:vAlign w:val="bottom"/>
          </w:tcPr>
          <w:p>
            <w:pPr>
              <w:spacing w:after="0"/>
              <w:rPr>
                <w:sz w:val="11"/>
                <w:szCs w:val="11"/>
                <w:color w:val="auto"/>
              </w:rPr>
            </w:pPr>
          </w:p>
        </w:tc>
        <w:tc>
          <w:tcPr>
            <w:tcW w:w="940" w:type="dxa"/>
            <w:vAlign w:val="bottom"/>
          </w:tcPr>
          <w:p>
            <w:pPr>
              <w:jc w:val="right"/>
              <w:ind w:right="153"/>
              <w:spacing w:after="0" w:line="133" w:lineRule="exact"/>
              <w:rPr>
                <w:sz w:val="20"/>
                <w:szCs w:val="20"/>
                <w:color w:val="auto"/>
              </w:rPr>
            </w:pPr>
            <w:r>
              <w:rPr>
                <w:rFonts w:ascii="Arial" w:cs="Arial" w:eastAsia="Arial" w:hAnsi="Arial"/>
                <w:sz w:val="14"/>
                <w:szCs w:val="14"/>
                <w:b w:val="1"/>
                <w:bCs w:val="1"/>
                <w:color w:val="auto"/>
              </w:rPr>
              <w:t>March 29,</w:t>
            </w:r>
          </w:p>
        </w:tc>
        <w:tc>
          <w:tcPr>
            <w:tcW w:w="520" w:type="dxa"/>
            <w:vAlign w:val="bottom"/>
          </w:tcPr>
          <w:p>
            <w:pPr>
              <w:spacing w:after="0"/>
              <w:rPr>
                <w:sz w:val="11"/>
                <w:szCs w:val="11"/>
                <w:color w:val="auto"/>
              </w:rPr>
            </w:pPr>
          </w:p>
        </w:tc>
      </w:tr>
      <w:tr>
        <w:trPr>
          <w:trHeight w:val="178"/>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2004</w:t>
            </w:r>
          </w:p>
        </w:tc>
        <w:tc>
          <w:tcPr>
            <w:tcW w:w="7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80"/>
              <w:spacing w:after="0"/>
              <w:rPr>
                <w:sz w:val="20"/>
                <w:szCs w:val="20"/>
                <w:color w:val="auto"/>
              </w:rPr>
            </w:pPr>
            <w:r>
              <w:rPr>
                <w:rFonts w:ascii="Arial" w:cs="Arial" w:eastAsia="Arial" w:hAnsi="Arial"/>
                <w:sz w:val="18"/>
                <w:szCs w:val="18"/>
                <w:color w:val="auto"/>
              </w:rPr>
              <w:t>Federal</w:t>
            </w:r>
          </w:p>
        </w:tc>
        <w:tc>
          <w:tcPr>
            <w:tcW w:w="3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102,068</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81,781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77,299</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State and local</w:t>
            </w:r>
          </w:p>
        </w:tc>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17,265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4,135</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6,550</w:t>
            </w:r>
          </w:p>
        </w:tc>
      </w:tr>
      <w:tr>
        <w:trPr>
          <w:trHeight w:val="216"/>
        </w:trPr>
        <w:tc>
          <w:tcPr>
            <w:tcW w:w="20" w:type="dxa"/>
            <w:vAlign w:val="bottom"/>
          </w:tcPr>
          <w:p>
            <w:pPr>
              <w:spacing w:after="0"/>
              <w:rPr>
                <w:sz w:val="18"/>
                <w:szCs w:val="18"/>
                <w:color w:val="auto"/>
              </w:rPr>
            </w:pPr>
          </w:p>
        </w:tc>
        <w:tc>
          <w:tcPr>
            <w:tcW w:w="3420" w:type="dxa"/>
            <w:vAlign w:val="bottom"/>
          </w:tcPr>
          <w:p>
            <w:pPr>
              <w:ind w:left="280"/>
              <w:spacing w:after="0"/>
              <w:rPr>
                <w:sz w:val="20"/>
                <w:szCs w:val="20"/>
                <w:color w:val="auto"/>
              </w:rPr>
            </w:pPr>
            <w:r>
              <w:rPr>
                <w:rFonts w:ascii="Arial" w:cs="Arial" w:eastAsia="Arial" w:hAnsi="Arial"/>
                <w:sz w:val="18"/>
                <w:szCs w:val="18"/>
                <w:color w:val="auto"/>
              </w:rPr>
              <w:t>Foreign</w:t>
            </w: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16,113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10,450</w:t>
            </w:r>
          </w:p>
        </w:tc>
        <w:tc>
          <w:tcPr>
            <w:tcW w:w="16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7,401</w:t>
            </w:r>
          </w:p>
        </w:tc>
      </w:tr>
      <w:tr>
        <w:trPr>
          <w:trHeight w:val="27"/>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135,446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96,366</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91,250</w:t>
            </w:r>
          </w:p>
        </w:tc>
      </w:tr>
      <w:tr>
        <w:trPr>
          <w:trHeight w:val="223"/>
        </w:trPr>
        <w:tc>
          <w:tcPr>
            <w:tcW w:w="344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28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Federal</w:t>
            </w:r>
          </w:p>
        </w:tc>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(33,704)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(5,350)</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9,818</w:t>
            </w:r>
          </w:p>
        </w:tc>
      </w:tr>
      <w:tr>
        <w:trPr>
          <w:trHeight w:val="216"/>
        </w:trPr>
        <w:tc>
          <w:tcPr>
            <w:tcW w:w="20" w:type="dxa"/>
            <w:vAlign w:val="bottom"/>
          </w:tcPr>
          <w:p>
            <w:pPr>
              <w:spacing w:after="0"/>
              <w:rPr>
                <w:sz w:val="18"/>
                <w:szCs w:val="18"/>
                <w:color w:val="auto"/>
              </w:rPr>
            </w:pPr>
          </w:p>
        </w:tc>
        <w:tc>
          <w:tcPr>
            <w:tcW w:w="3420" w:type="dxa"/>
            <w:vAlign w:val="bottom"/>
          </w:tcPr>
          <w:p>
            <w:pPr>
              <w:ind w:left="280"/>
              <w:spacing w:after="0"/>
              <w:rPr>
                <w:sz w:val="20"/>
                <w:szCs w:val="20"/>
                <w:color w:val="auto"/>
              </w:rPr>
            </w:pPr>
            <w:r>
              <w:rPr>
                <w:rFonts w:ascii="Arial" w:cs="Arial" w:eastAsia="Arial" w:hAnsi="Arial"/>
                <w:sz w:val="18"/>
                <w:szCs w:val="18"/>
                <w:color w:val="auto"/>
              </w:rPr>
              <w:t>State and local</w:t>
            </w: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2,404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(1,082)</w:t>
            </w:r>
          </w:p>
        </w:tc>
        <w:tc>
          <w:tcPr>
            <w:tcW w:w="16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(1,834)</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Foreign</w:t>
            </w:r>
          </w:p>
        </w:tc>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3,190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3,941</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1,907</w:t>
            </w: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(28,110)</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(2,491)</w:t>
            </w:r>
          </w:p>
        </w:tc>
        <w:tc>
          <w:tcPr>
            <w:tcW w:w="7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9,891</w:t>
            </w:r>
          </w:p>
        </w:tc>
        <w:tc>
          <w:tcPr>
            <w:tcW w:w="5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107,336</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93,875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101,141</w:t>
            </w:r>
          </w:p>
        </w:tc>
      </w:tr>
      <w:tr>
        <w:trPr>
          <w:trHeight w:val="21"/>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040" w:type="dxa"/>
            <w:vAlign w:val="bottom"/>
            <w:gridSpan w:val="2"/>
          </w:tcPr>
          <w:p>
            <w:pPr>
              <w:jc w:val="right"/>
              <w:ind w:right="600"/>
              <w:spacing w:after="0"/>
              <w:rPr>
                <w:sz w:val="20"/>
                <w:szCs w:val="20"/>
                <w:color w:val="auto"/>
              </w:rPr>
            </w:pPr>
            <w:r>
              <w:rPr>
                <w:rFonts w:ascii="Arial" w:cs="Arial" w:eastAsia="Arial" w:hAnsi="Arial"/>
                <w:sz w:val="18"/>
                <w:szCs w:val="18"/>
                <w:color w:val="auto"/>
              </w:rPr>
              <w:t>F-25</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540" w:firstLine="267"/>
        <w:spacing w:after="0" w:line="342" w:lineRule="auto"/>
        <w:rPr>
          <w:sz w:val="20"/>
          <w:szCs w:val="20"/>
          <w:color w:val="auto"/>
        </w:rPr>
      </w:pPr>
      <w:r>
        <w:rPr>
          <w:rFonts w:ascii="Arial" w:cs="Arial" w:eastAsia="Arial" w:hAnsi="Arial"/>
          <w:sz w:val="16"/>
          <w:szCs w:val="16"/>
          <w:color w:val="auto"/>
        </w:rPr>
        <w:t>The current income tax provisions exclude approximately $18.6 million in Fiscal 2005, $5.7 million in Fiscal 2004, and $1.2 million in Fiscal 2003 arising from the tax benefits related to the exercise of nonqualified stock options. These amounts have been credited to capital in excess of par value.</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foreign and domestic components of income before provision for income taxes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Fiscal Year Ended</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April 2,</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April 3,</w:t>
            </w:r>
          </w:p>
        </w:tc>
        <w:tc>
          <w:tcPr>
            <w:tcW w:w="160" w:type="dxa"/>
            <w:vAlign w:val="bottom"/>
          </w:tcPr>
          <w:p>
            <w:pPr>
              <w:spacing w:after="0"/>
              <w:rPr>
                <w:sz w:val="11"/>
                <w:szCs w:val="11"/>
                <w:color w:val="auto"/>
              </w:rPr>
            </w:pPr>
          </w:p>
        </w:tc>
        <w:tc>
          <w:tcPr>
            <w:tcW w:w="940" w:type="dxa"/>
            <w:vAlign w:val="bottom"/>
          </w:tcPr>
          <w:p>
            <w:pPr>
              <w:jc w:val="center"/>
              <w:ind w:right="77"/>
              <w:spacing w:after="0" w:line="133" w:lineRule="exact"/>
              <w:rPr>
                <w:sz w:val="20"/>
                <w:szCs w:val="20"/>
                <w:color w:val="auto"/>
              </w:rPr>
            </w:pPr>
            <w:r>
              <w:rPr>
                <w:rFonts w:ascii="Arial" w:cs="Arial" w:eastAsia="Arial" w:hAnsi="Arial"/>
                <w:sz w:val="14"/>
                <w:szCs w:val="14"/>
                <w:b w:val="1"/>
                <w:bCs w:val="1"/>
                <w:color w:val="auto"/>
                <w:w w:val="95"/>
              </w:rPr>
              <w:t>March 29,</w:t>
            </w:r>
          </w:p>
        </w:tc>
        <w:tc>
          <w:tcPr>
            <w:tcW w:w="500" w:type="dxa"/>
            <w:vAlign w:val="bottom"/>
          </w:tcPr>
          <w:p>
            <w:pPr>
              <w:spacing w:after="0"/>
              <w:rPr>
                <w:sz w:val="11"/>
                <w:szCs w:val="11"/>
                <w:color w:val="auto"/>
              </w:rPr>
            </w:pPr>
          </w:p>
        </w:tc>
      </w:tr>
      <w:tr>
        <w:trPr>
          <w:trHeight w:val="178"/>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2004</w:t>
            </w:r>
          </w:p>
        </w:tc>
        <w:tc>
          <w:tcPr>
            <w:tcW w:w="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152,584</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196,052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192,605</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Foreign</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146,782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62,975</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84,219</w:t>
            </w:r>
          </w:p>
        </w:tc>
      </w:tr>
      <w:tr>
        <w:trPr>
          <w:trHeight w:val="27"/>
        </w:trPr>
        <w:tc>
          <w:tcPr>
            <w:tcW w:w="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299,366</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259,027</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276,824</w:t>
            </w: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267"/>
        <w:spacing w:after="0" w:line="264" w:lineRule="auto"/>
        <w:rPr>
          <w:sz w:val="20"/>
          <w:szCs w:val="20"/>
          <w:color w:val="auto"/>
        </w:rPr>
      </w:pPr>
      <w:r>
        <w:rPr>
          <w:rFonts w:ascii="Arial" w:cs="Arial" w:eastAsia="Arial" w:hAnsi="Arial"/>
          <w:sz w:val="18"/>
          <w:szCs w:val="18"/>
          <w:color w:val="auto"/>
        </w:rPr>
        <w:t>The deferred tax assets reflect the net tax effect of temporary differences, primarily net operating loss carryforwards, property and equipment and accounts receivable, between the carrying amounts of assets and liabilities for financial reporting and the amounts used for income tax purposes. The components of the net deferred tax assets at April 2, 2005 and April 3, 2004 were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gridSpan w:val="3"/>
          </w:tcPr>
          <w:p>
            <w:pPr>
              <w:jc w:val="right"/>
              <w:ind w:right="1220"/>
              <w:spacing w:after="0"/>
              <w:rPr>
                <w:sz w:val="20"/>
                <w:szCs w:val="20"/>
                <w:color w:val="auto"/>
              </w:rPr>
            </w:pPr>
            <w:r>
              <w:rPr>
                <w:rFonts w:ascii="Arial" w:cs="Arial" w:eastAsia="Arial" w:hAnsi="Arial"/>
                <w:sz w:val="14"/>
                <w:szCs w:val="14"/>
                <w:b w:val="1"/>
                <w:bCs w:val="1"/>
                <w:color w:val="auto"/>
              </w:rPr>
              <w:t>April 2,</w:t>
            </w:r>
          </w:p>
        </w:tc>
        <w:tc>
          <w:tcPr>
            <w:tcW w:w="200" w:type="dxa"/>
            <w:vAlign w:val="bottom"/>
          </w:tcPr>
          <w:p>
            <w:pPr>
              <w:spacing w:after="0"/>
              <w:rPr>
                <w:sz w:val="14"/>
                <w:szCs w:val="14"/>
                <w:color w:val="auto"/>
              </w:rPr>
            </w:pPr>
          </w:p>
        </w:tc>
        <w:tc>
          <w:tcPr>
            <w:tcW w:w="14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58,973</w:t>
            </w:r>
          </w:p>
        </w:tc>
        <w:tc>
          <w:tcPr>
            <w:tcW w:w="8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83,752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4,416</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22,838</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13,792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Uniform inventory capitalization</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6,633</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Deferred compensation</w:t>
            </w: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15,356</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8,597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reserves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3,365</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42,422</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Cumulative Translation Adjustment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17,678</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19,585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10,718</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w:t>
            </w: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182,399</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162,520</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55,249</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62,934</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127,150</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99,586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intangibles</w:t>
            </w:r>
          </w:p>
        </w:tc>
        <w:tc>
          <w:tcPr>
            <w:tcW w:w="24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(17,742)</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Foreign reorganization costs</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1,226</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Liability</w:t>
            </w:r>
          </w:p>
        </w:tc>
        <w:tc>
          <w:tcPr>
            <w:tcW w:w="24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(16,516)</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(14,426)</w:t>
            </w: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Net Deferred Tax Asset</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110,634</w:t>
            </w:r>
          </w:p>
        </w:tc>
        <w:tc>
          <w:tcPr>
            <w:tcW w:w="2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85,160</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60" w:firstLine="267"/>
        <w:spacing w:after="0" w:line="259" w:lineRule="auto"/>
        <w:rPr>
          <w:sz w:val="20"/>
          <w:szCs w:val="20"/>
          <w:color w:val="auto"/>
        </w:rPr>
      </w:pPr>
      <w:r>
        <w:rPr>
          <w:rFonts w:ascii="Arial" w:cs="Arial" w:eastAsia="Arial" w:hAnsi="Arial"/>
          <w:sz w:val="18"/>
          <w:szCs w:val="18"/>
          <w:color w:val="auto"/>
        </w:rPr>
        <w:t>We have available federal, state and foreign net operating loss carryforwards of approximately $3.6 million, $81 million and $6 million, respectively, for tax purposes to offset future taxable income. The net operating loss carryforwards expire beginning in Fiscal 2006. The utilization of the federal net operating loss carryforwards is subject to the limitations of Internal Revenue Code Section 382, which applies following certain changes in ownership of the entity generating the loss carryforward.</w:t>
      </w:r>
    </w:p>
    <w:p>
      <w:pPr>
        <w:spacing w:after="0" w:line="79" w:lineRule="exact"/>
        <w:rPr>
          <w:sz w:val="20"/>
          <w:szCs w:val="20"/>
          <w:color w:val="auto"/>
        </w:rPr>
      </w:pPr>
    </w:p>
    <w:p>
      <w:pPr>
        <w:ind w:right="160" w:firstLine="260"/>
        <w:spacing w:after="0" w:line="277" w:lineRule="auto"/>
        <w:rPr>
          <w:sz w:val="20"/>
          <w:szCs w:val="20"/>
          <w:color w:val="auto"/>
        </w:rPr>
      </w:pPr>
      <w:r>
        <w:rPr>
          <w:rFonts w:ascii="Arial" w:cs="Arial" w:eastAsia="Arial" w:hAnsi="Arial"/>
          <w:sz w:val="18"/>
          <w:szCs w:val="18"/>
          <w:color w:val="auto"/>
        </w:rPr>
        <w:t>Also, we have available state and foreign net operating loss carryforwards of approximately $135 million and $50 million, respectively, for which no net deferred tax asset has been recognized. A full valuation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allowance has been recorded since we do not believe that we will more likely than not be able to utilize these carryforwards to offset future taxable income. Subsequent recognition of a portion of the deferred tax asset relating to these federal, state and foreign net operating loss carryforwards would result in a reduction of goodwill recorded in connection with acquisitions. Additionally, we have recorded a valuation allowance against certain other deferred tax assets relating to our foreign operations. Subsequent recognition of these deferred tax assets, as well as a portion of the foreign net operating loss carryforwards, would result in an income tax benefit in the year of such recognition. During the year, the Company resolved audits in various foreign jurisdictions resulting in a $19 million reduction of the NOL’s which were subject to a full valuation allowance. The Company also increased the valuation allowance by $8 million relating to current year losses incurred in these foreign jurisdictions. Furthermore, changes in other deferred tax components resulted in a $3 million increase in the valuation allowance. These valuation allowances have been recorded because management has determined that it is more likely than not that such tax benefits will not be realized.</w:t>
      </w:r>
    </w:p>
    <w:p>
      <w:pPr>
        <w:spacing w:after="0" w:line="20" w:lineRule="exact"/>
        <w:rPr>
          <w:sz w:val="20"/>
          <w:szCs w:val="20"/>
          <w:color w:val="auto"/>
        </w:rPr>
      </w:pPr>
    </w:p>
    <w:p>
      <w:pPr>
        <w:ind w:right="40" w:firstLine="270"/>
        <w:spacing w:after="0" w:line="276" w:lineRule="auto"/>
        <w:rPr>
          <w:sz w:val="20"/>
          <w:szCs w:val="20"/>
          <w:color w:val="auto"/>
        </w:rPr>
      </w:pPr>
      <w:r>
        <w:rPr>
          <w:rFonts w:ascii="Arial" w:cs="Arial" w:eastAsia="Arial" w:hAnsi="Arial"/>
          <w:sz w:val="17"/>
          <w:szCs w:val="17"/>
          <w:color w:val="auto"/>
        </w:rPr>
        <w:t>Provision has not been made for United States or additional foreign taxes on approximately $188 million of undistributed earnings of foreign subsidiaries. Those earnings have been and will continue to be reinvested. These earnings could become subject to tax if they were remitted as dividends, if foreign earnings were lent to PRLC, a subsidiary or a United States affiliate of PRLC, or if the stock of the subsidiaries were sold. Determination of the amount of unrecognized deferred tax liability with respect to such earnings is not practical. We believe that the amount of the additional taxes that might be payable on the earnings of foreign subsidiaries, if remitted, would be partially offset by United States foreign tax credits.</w:t>
      </w:r>
    </w:p>
    <w:p>
      <w:pPr>
        <w:spacing w:after="0" w:line="10" w:lineRule="exact"/>
        <w:rPr>
          <w:sz w:val="20"/>
          <w:szCs w:val="20"/>
          <w:color w:val="auto"/>
        </w:rPr>
      </w:pPr>
    </w:p>
    <w:p>
      <w:pPr>
        <w:ind w:right="80" w:firstLine="267"/>
        <w:spacing w:after="0" w:line="254" w:lineRule="auto"/>
        <w:rPr>
          <w:sz w:val="20"/>
          <w:szCs w:val="20"/>
          <w:color w:val="auto"/>
        </w:rPr>
      </w:pPr>
      <w:r>
        <w:rPr>
          <w:rFonts w:ascii="Arial" w:cs="Arial" w:eastAsia="Arial" w:hAnsi="Arial"/>
          <w:sz w:val="18"/>
          <w:szCs w:val="18"/>
          <w:color w:val="auto"/>
        </w:rPr>
        <w:t>The American Jobs Creation Act of 2004 (the “Jobs Act”) was signed into law on October 22, 2004. The Jobs Act included a special one-time 85% dividends received deduction on the repatriation of certain foreign earning to a U.S. taxpayer (the “Repatriation Provision”), provided that specified conditions and restrictions are satisfied, including a requirement that the repatriated foreign earnings are invested in the U.S. pursuant to a domestic reinvestment plan. On December 21, 2004, the FASB issued FSB 109-2 which permits companies additional time beyond the financial reporting period in which the Jobs Act was enacted to evaluate the effect of the Repatriation Provision. As of April 2, 2005, the Company has not yet completed its evaluation of the impact of the Repatriation Provision and cannot reasonably estimate the impact at this time. Accordingly, the impact of the Repatriation Provision has not been reflected in the Company’s financial statements. The Company expects to complete its evaluation of the Repatriation Provision and the related tax impact during the next fiscal year.</w:t>
      </w:r>
    </w:p>
    <w:p>
      <w:pPr>
        <w:spacing w:after="0" w:line="30" w:lineRule="exact"/>
        <w:rPr>
          <w:sz w:val="20"/>
          <w:szCs w:val="20"/>
          <w:color w:val="auto"/>
        </w:rPr>
      </w:pPr>
    </w:p>
    <w:p>
      <w:pPr>
        <w:ind w:right="240" w:firstLine="267"/>
        <w:spacing w:after="0" w:line="257" w:lineRule="auto"/>
        <w:rPr>
          <w:sz w:val="20"/>
          <w:szCs w:val="20"/>
          <w:color w:val="auto"/>
        </w:rPr>
      </w:pPr>
      <w:r>
        <w:rPr>
          <w:rFonts w:ascii="Arial" w:cs="Arial" w:eastAsia="Arial" w:hAnsi="Arial"/>
          <w:sz w:val="18"/>
          <w:szCs w:val="18"/>
          <w:color w:val="auto"/>
        </w:rPr>
        <w:t>The Company is periodically examined by various federal, state and foreign tax jurisdictions. The tax years under examination vary by jurisdiction. We regularly consider the likelihood of assessments in each of the taxing jurisdictions and have established tax allowances which represent management’s best estimate of the potential assessments. The resolution of tax matters could differ from the amount reserved. While that difference could be material to the results of operations and cash flows for any affected reporting period, it is not expected to have a material impact on consolidated financial position or consolidated liquidity.</w:t>
      </w:r>
    </w:p>
    <w:p>
      <w:pPr>
        <w:spacing w:after="0" w:line="80" w:lineRule="exact"/>
        <w:rPr>
          <w:sz w:val="20"/>
          <w:szCs w:val="20"/>
          <w:color w:val="auto"/>
        </w:rPr>
      </w:pPr>
    </w:p>
    <w:p>
      <w:pPr>
        <w:ind w:right="40" w:firstLine="267"/>
        <w:spacing w:after="0" w:line="277" w:lineRule="auto"/>
        <w:rPr>
          <w:sz w:val="20"/>
          <w:szCs w:val="20"/>
          <w:color w:val="auto"/>
        </w:rPr>
      </w:pPr>
      <w:r>
        <w:rPr>
          <w:rFonts w:ascii="Arial" w:cs="Arial" w:eastAsia="Arial" w:hAnsi="Arial"/>
          <w:sz w:val="18"/>
          <w:szCs w:val="18"/>
          <w:color w:val="auto"/>
        </w:rPr>
        <w:t>The historical provision for income taxes in Fiscal 2005, Fiscal 2004 and Fiscal 2003 differs from the amounts computed by applying the statutory federal income tax rate to income before provision for income taxes due to the following:</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Fiscal Year Ended</w:t>
            </w: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right"/>
              <w:ind w:right="660"/>
              <w:spacing w:after="0" w:line="133" w:lineRule="exact"/>
              <w:rPr>
                <w:sz w:val="20"/>
                <w:szCs w:val="20"/>
                <w:color w:val="auto"/>
              </w:rPr>
            </w:pPr>
            <w:r>
              <w:rPr>
                <w:rFonts w:ascii="Arial" w:cs="Arial" w:eastAsia="Arial" w:hAnsi="Arial"/>
                <w:sz w:val="14"/>
                <w:szCs w:val="14"/>
                <w:b w:val="1"/>
                <w:bCs w:val="1"/>
                <w:color w:val="auto"/>
              </w:rPr>
              <w:t>April 2,</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560"/>
              <w:spacing w:after="0" w:line="133" w:lineRule="exact"/>
              <w:rPr>
                <w:sz w:val="20"/>
                <w:szCs w:val="20"/>
                <w:color w:val="auto"/>
              </w:rPr>
            </w:pPr>
            <w:r>
              <w:rPr>
                <w:rFonts w:ascii="Arial" w:cs="Arial" w:eastAsia="Arial" w:hAnsi="Arial"/>
                <w:sz w:val="14"/>
                <w:szCs w:val="14"/>
                <w:b w:val="1"/>
                <w:bCs w:val="1"/>
                <w:color w:val="auto"/>
                <w:w w:val="96"/>
              </w:rPr>
              <w:t>April 3,</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right"/>
              <w:ind w:right="155"/>
              <w:spacing w:after="0" w:line="133" w:lineRule="exact"/>
              <w:rPr>
                <w:sz w:val="20"/>
                <w:szCs w:val="20"/>
                <w:color w:val="auto"/>
              </w:rPr>
            </w:pPr>
            <w:r>
              <w:rPr>
                <w:rFonts w:ascii="Arial" w:cs="Arial" w:eastAsia="Arial" w:hAnsi="Arial"/>
                <w:sz w:val="14"/>
                <w:szCs w:val="14"/>
                <w:b w:val="1"/>
                <w:bCs w:val="1"/>
                <w:color w:val="auto"/>
              </w:rPr>
              <w:t>March 29,</w:t>
            </w:r>
          </w:p>
        </w:tc>
        <w:tc>
          <w:tcPr>
            <w:tcW w:w="500" w:type="dxa"/>
            <w:vAlign w:val="bottom"/>
          </w:tcPr>
          <w:p>
            <w:pPr>
              <w:spacing w:after="0"/>
              <w:rPr>
                <w:sz w:val="11"/>
                <w:szCs w:val="11"/>
                <w:color w:val="auto"/>
              </w:rPr>
            </w:pPr>
          </w:p>
        </w:tc>
      </w:tr>
      <w:tr>
        <w:trPr>
          <w:trHeight w:val="178"/>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2004</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 at statutory Federal rate</w:t>
            </w:r>
          </w:p>
        </w:tc>
        <w:tc>
          <w:tcPr>
            <w:tcW w:w="1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104,778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90,659</w:t>
            </w:r>
          </w:p>
        </w:tc>
        <w:tc>
          <w:tcPr>
            <w:tcW w:w="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96,888</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Increase (decrease) due to:</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State and local income taxes, net of Federal Benefit</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12,785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1,986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3,065</w:t>
            </w:r>
          </w:p>
        </w:tc>
      </w:tr>
      <w:tr>
        <w:trPr>
          <w:trHeight w:val="216"/>
        </w:trPr>
        <w:tc>
          <w:tcPr>
            <w:tcW w:w="20" w:type="dxa"/>
            <w:vAlign w:val="bottom"/>
          </w:tcPr>
          <w:p>
            <w:pPr>
              <w:spacing w:after="0"/>
              <w:rPr>
                <w:sz w:val="18"/>
                <w:szCs w:val="18"/>
                <w:color w:val="auto"/>
              </w:rPr>
            </w:pPr>
          </w:p>
        </w:tc>
        <w:tc>
          <w:tcPr>
            <w:tcW w:w="4760" w:type="dxa"/>
            <w:vAlign w:val="bottom"/>
          </w:tcPr>
          <w:p>
            <w:pPr>
              <w:ind w:left="280"/>
              <w:spacing w:after="0"/>
              <w:rPr>
                <w:sz w:val="20"/>
                <w:szCs w:val="20"/>
                <w:color w:val="auto"/>
              </w:rPr>
            </w:pPr>
            <w:r>
              <w:rPr>
                <w:rFonts w:ascii="Arial" w:cs="Arial" w:eastAsia="Arial" w:hAnsi="Arial"/>
                <w:sz w:val="18"/>
                <w:szCs w:val="18"/>
                <w:color w:val="auto"/>
              </w:rPr>
              <w:t>Foreign income taxes, net</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(13,260)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4,803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623</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3,033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(3,573)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565</w:t>
            </w: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107,336</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93,875</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101,141</w:t>
            </w:r>
          </w:p>
        </w:tc>
        <w:tc>
          <w:tcPr>
            <w:tcW w:w="5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700" w:type="dxa"/>
            <w:vAlign w:val="bottom"/>
            <w:gridSpan w:val="2"/>
          </w:tcPr>
          <w:p>
            <w:pPr>
              <w:jc w:val="right"/>
              <w:ind w:right="510"/>
              <w:spacing w:after="0"/>
              <w:rPr>
                <w:sz w:val="20"/>
                <w:szCs w:val="20"/>
                <w:color w:val="auto"/>
              </w:rPr>
            </w:pPr>
            <w:r>
              <w:rPr>
                <w:rFonts w:ascii="Arial" w:cs="Arial" w:eastAsia="Arial" w:hAnsi="Arial"/>
                <w:sz w:val="18"/>
                <w:szCs w:val="18"/>
                <w:color w:val="auto"/>
              </w:rPr>
              <w:t>F-27</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476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580" w:hanging="572"/>
        <w:spacing w:after="0"/>
        <w:tabs>
          <w:tab w:leader="none" w:pos="5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Financing Agreements</w:t>
      </w:r>
    </w:p>
    <w:p>
      <w:pPr>
        <w:spacing w:after="0" w:line="121" w:lineRule="exact"/>
        <w:rPr>
          <w:sz w:val="20"/>
          <w:szCs w:val="20"/>
          <w:color w:val="auto"/>
        </w:rPr>
      </w:pPr>
    </w:p>
    <w:p>
      <w:pPr>
        <w:ind w:right="260" w:firstLine="270"/>
        <w:spacing w:after="0" w:line="342" w:lineRule="auto"/>
        <w:rPr>
          <w:sz w:val="20"/>
          <w:szCs w:val="20"/>
          <w:color w:val="auto"/>
        </w:rPr>
      </w:pPr>
      <w:r>
        <w:rPr>
          <w:rFonts w:ascii="Arial" w:cs="Arial" w:eastAsia="Arial" w:hAnsi="Arial"/>
          <w:sz w:val="16"/>
          <w:szCs w:val="16"/>
          <w:color w:val="auto"/>
        </w:rPr>
        <w:t>Prior to October 6, 2004, we had a credit facility with a syndicate of banks consisting of a $300.0 million revolving line of credit, subject to increase to $375.0 million, which was available for direct borrowings and the issuance of letters of credit. It was scheduled to mature on November 18, 2005.</w:t>
      </w:r>
    </w:p>
    <w:p>
      <w:pPr>
        <w:spacing w:after="0" w:line="16"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color w:val="auto"/>
        </w:rPr>
        <w:t>On October 6, 2004, we, in substance, expanded and extended this bank credit facility by entering into a new credit agreement, dated as of that date, with JPMorgan Chase Bank, as Administrative Agent, The Bank of New York, Fleet National Bank, SunTrust Bank and Wachovia Bank National Association, as Syndication Agents, J.P. Morgan Securities Inc., as sole Bookrunner and Sole Lead Arranger, and a syndicate of lending banks that included each of the lending banks under the prior credit agreement (the “New Credit Facility”).</w:t>
      </w:r>
    </w:p>
    <w:p>
      <w:pPr>
        <w:spacing w:after="0" w:line="79" w:lineRule="exact"/>
        <w:rPr>
          <w:sz w:val="20"/>
          <w:szCs w:val="20"/>
          <w:color w:val="auto"/>
        </w:rPr>
      </w:pPr>
    </w:p>
    <w:p>
      <w:pPr>
        <w:ind w:right="140" w:firstLine="267"/>
        <w:spacing w:after="0" w:line="291" w:lineRule="auto"/>
        <w:rPr>
          <w:sz w:val="20"/>
          <w:szCs w:val="20"/>
          <w:color w:val="auto"/>
        </w:rPr>
      </w:pPr>
      <w:r>
        <w:rPr>
          <w:rFonts w:ascii="Arial" w:cs="Arial" w:eastAsia="Arial" w:hAnsi="Arial"/>
          <w:sz w:val="16"/>
          <w:szCs w:val="16"/>
          <w:color w:val="auto"/>
        </w:rPr>
        <w:t>The New Credit Facility, which is otherwise substantially on the same terms as the prior credit facility, provides for a $450.0 million revolving line of credit, subject to increase to $525.0 million, which is available for direct borrowings and the issuance of letters of credit. It will mature on October 6, 2009. We incur a financing charge of ten basis points per month on the average monthly balance of these outstanding letters of credit. Direct borrowings under the New Credit Facility bear interest, at our option, at a rate equal to (i) the higher of (x) the weighted average overnight Federal funds rate, as published by the Federal Reserve Bank of New York, plus one-half of one percent, and (y) the prime commercial lending rate of JPMorgan Chase Bank in effect from time to time, or (ii) the LIBO Rate (as defined in the New Credit Facility) in effect from time to time, as adjusted for the Federal Reserve Board’s Eurocurrency Liabilities maximum reserve percentage, and a margin based on our then current credit ratings. As of April 2, 2005, the margin was 0.625%.</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New Credit Facility requires us to maintain certain covenants:</w:t>
      </w:r>
    </w:p>
    <w:p>
      <w:pPr>
        <w:spacing w:after="0" w:line="63" w:lineRule="exact"/>
        <w:rPr>
          <w:sz w:val="20"/>
          <w:szCs w:val="20"/>
          <w:color w:val="auto"/>
        </w:rPr>
      </w:pPr>
    </w:p>
    <w:p>
      <w:pPr>
        <w:ind w:left="460" w:hanging="101"/>
        <w:spacing w:after="0" w:line="277"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minimum ratio of consolidated Earnings Before Interest, Taxes, Depreciation, Amortization and Rent (“EBITDAR”) to Consolidated Interest Expense (as such terms are described in the New Credit Facility); and</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maximum ratio of Adjusted Debt (as defined in the New Credit Facility) to EBITDAR.</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New Credit Facility also contains covenants that, subject to specified exceptions, restrict our ability to:</w:t>
      </w:r>
    </w:p>
    <w:p>
      <w:pPr>
        <w:spacing w:after="0" w:line="63" w:lineRule="exact"/>
        <w:rPr>
          <w:sz w:val="20"/>
          <w:szCs w:val="20"/>
          <w:color w:val="auto"/>
        </w:rPr>
      </w:pPr>
    </w:p>
    <w:p>
      <w:pPr>
        <w:ind w:left="460" w:hanging="101"/>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incur liens and contingent liabilities;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sell or dispose of assets, including equity interests;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merge with or acquire other companies, liquidate or dissolve;</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engage in businesses that are not a related line of business;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make loans, advances or guarantees;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engage in transactions with affiliates;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17" w:lineRule="exact"/>
        <w:rPr>
          <w:sz w:val="20"/>
          <w:szCs w:val="20"/>
          <w:color w:val="auto"/>
        </w:rPr>
      </w:pPr>
    </w:p>
    <w:p>
      <w:pPr>
        <w:ind w:right="80" w:firstLine="270"/>
        <w:spacing w:after="0" w:line="276" w:lineRule="auto"/>
        <w:rPr>
          <w:sz w:val="20"/>
          <w:szCs w:val="20"/>
          <w:color w:val="auto"/>
        </w:rPr>
      </w:pPr>
      <w:r>
        <w:rPr>
          <w:rFonts w:ascii="Arial" w:cs="Arial" w:eastAsia="Arial" w:hAnsi="Arial"/>
          <w:sz w:val="17"/>
          <w:szCs w:val="17"/>
          <w:color w:val="auto"/>
        </w:rPr>
        <w:t>Upon the occurrence of an event of default under the New Credit Facility, the lenders may cease making loans, terminate the New Credit Facility, and declare all amounts outstanding to be immediately due and payable. The New Credit Facility specifies a number of events of default (many of which are subject to applicable grace periods), including, among others, the failure to make timely principal and interest payments or to satisfy the covenants, including the financial covenants described above. Additionally, the New Credit Facility provides that an event of default will occur if Mr. Ralph Lauren and related entities fail to maintain a specified minimum percentage of the voting power of our common stock.</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140" w:firstLine="270"/>
        <w:spacing w:after="0" w:line="276" w:lineRule="auto"/>
        <w:rPr>
          <w:sz w:val="20"/>
          <w:szCs w:val="20"/>
          <w:color w:val="auto"/>
        </w:rPr>
      </w:pPr>
      <w:r>
        <w:rPr>
          <w:rFonts w:ascii="Arial" w:cs="Arial" w:eastAsia="Arial" w:hAnsi="Arial"/>
          <w:sz w:val="17"/>
          <w:szCs w:val="17"/>
          <w:color w:val="auto"/>
        </w:rPr>
        <w:t>On November 22, 1999, we issued Euro 275.0 million of 6.125% Notes (“Euro debt”) due November 2006. The Euro debt is listed on the London Stock Exchange. The net proceeds from the Euro debt offering were $281.5 million based on the Euro exchange rate on the issuance date. A portion of the net proceeds from the issuance was used to finance the acquisition of stock and certain assets of Poloco while the remaining net proceeds were retained for general corporate purposes. Interest on the Euro debt is payable annually. Through Fiscal 2004, we repurchased Euro 47.7 million of our outstanding Euro debt, or $43.6 million based on Euro exchange rates. The loss on this early extinguishment of debt was not material.</w:t>
      </w:r>
    </w:p>
    <w:p>
      <w:pPr>
        <w:spacing w:after="0" w:line="64" w:lineRule="exact"/>
        <w:rPr>
          <w:sz w:val="20"/>
          <w:szCs w:val="20"/>
          <w:color w:val="auto"/>
        </w:rPr>
      </w:pPr>
    </w:p>
    <w:p>
      <w:pPr>
        <w:ind w:right="100" w:firstLine="260"/>
        <w:spacing w:after="0" w:line="257" w:lineRule="auto"/>
        <w:rPr>
          <w:sz w:val="20"/>
          <w:szCs w:val="20"/>
          <w:color w:val="auto"/>
        </w:rPr>
      </w:pPr>
      <w:r>
        <w:rPr>
          <w:rFonts w:ascii="Arial" w:cs="Arial" w:eastAsia="Arial" w:hAnsi="Arial"/>
          <w:sz w:val="18"/>
          <w:szCs w:val="18"/>
          <w:color w:val="auto"/>
        </w:rPr>
        <w:t>At April 2, 2005, we had no balance outstanding under the New Credit Facility and $291.0 million outstanding in Euro debt based on the year end Euro exchange rate. We were also contingently liable for $29.8 million in outstanding letters of credit related primarily to commitments for the purchase of inventory. At April 3, 2004, we had no balance outstanding under the New Credit Facility and $277.3 million outstanding in Euro debt based on the year end Euro exchange rate. The credit facilities bore interest primarily at the institution’s prime rate. The weighted-average interest rate on borrowings was 3.4%, 3.8% and 5.4% in Fiscal 2005, 2004 and 2003, respectively.</w:t>
      </w:r>
    </w:p>
    <w:p>
      <w:pPr>
        <w:spacing w:after="0" w:line="80" w:lineRule="exact"/>
        <w:rPr>
          <w:sz w:val="20"/>
          <w:szCs w:val="20"/>
          <w:color w:val="auto"/>
        </w:rPr>
      </w:pPr>
    </w:p>
    <w:p>
      <w:pPr>
        <w:jc w:val="both"/>
        <w:ind w:right="60" w:firstLine="267"/>
        <w:spacing w:after="0" w:line="259" w:lineRule="auto"/>
        <w:rPr>
          <w:sz w:val="20"/>
          <w:szCs w:val="20"/>
          <w:color w:val="auto"/>
        </w:rPr>
      </w:pPr>
      <w:r>
        <w:rPr>
          <w:rFonts w:ascii="Arial" w:cs="Arial" w:eastAsia="Arial" w:hAnsi="Arial"/>
          <w:sz w:val="18"/>
          <w:szCs w:val="18"/>
          <w:color w:val="auto"/>
        </w:rPr>
        <w:t>The carrying amounts of financial instruments reported in the accompanying consolidated balance sheets approximated their estimated fair values, except for the Euro debt, primarily due to either the short-term maturity of the instruments or their adjustable market rate of interest. The fair value of the Euro debt, net of discounts, was $306.9 million, and $292.6 million, as of April 2, 2005 and April 3, 2004 respectively, based on its quoted market price as listed on the London Stock Exchange.</w:t>
      </w:r>
    </w:p>
    <w:p>
      <w:pPr>
        <w:spacing w:after="0" w:line="183" w:lineRule="exact"/>
        <w:rPr>
          <w:sz w:val="20"/>
          <w:szCs w:val="20"/>
          <w:color w:val="auto"/>
        </w:rPr>
      </w:pPr>
    </w:p>
    <w:p>
      <w:pPr>
        <w:ind w:left="580" w:hanging="572"/>
        <w:spacing w:after="0"/>
        <w:tabs>
          <w:tab w:leader="none" w:pos="5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firstLine="267"/>
        <w:spacing w:after="0" w:line="288" w:lineRule="auto"/>
        <w:rPr>
          <w:sz w:val="20"/>
          <w:szCs w:val="20"/>
          <w:color w:val="auto"/>
        </w:rPr>
      </w:pPr>
      <w:r>
        <w:rPr>
          <w:rFonts w:ascii="Arial" w:cs="Arial" w:eastAsia="Arial" w:hAnsi="Arial"/>
          <w:sz w:val="16"/>
          <w:szCs w:val="16"/>
          <w:color w:val="auto"/>
        </w:rPr>
        <w:t>We enter into forward foreign exchange contracts as cash flow hedges relating to identifiable currency positions to reduce our risk from exchange rate fluctuations on inventory purchases and intercompany royalty payments. Gains and losses on these contracts are deferred and recognized as adjustments to either the basis of those assets or foreign exchange gains/losses, as applicable. At April 2, 2005, we had the following foreign exchange contracts outstanding:</w:t>
      </w:r>
    </w:p>
    <w:p>
      <w:pPr>
        <w:ind w:right="300" w:firstLine="8"/>
        <w:spacing w:after="0" w:line="255" w:lineRule="auto"/>
        <w:tabs>
          <w:tab w:leader="none" w:pos="21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deliver €94.3 million in exchange for $124.3 million through Fiscal 2005 and (ii) to deliver ¥11,389 million in exchange for $99.6 million through Fiscal 2008. At April 2, 2005, the fair value of these contracts resulted in unrealized gains and losses, net of taxes of $1.8 million and $8.2 million, for the Euro forward contracts and Japanese Yen forward contracts, respectively.</w:t>
      </w:r>
    </w:p>
    <w:p>
      <w:pPr>
        <w:spacing w:after="0" w:line="82" w:lineRule="exact"/>
        <w:rPr>
          <w:sz w:val="20"/>
          <w:szCs w:val="20"/>
          <w:color w:val="auto"/>
        </w:rPr>
      </w:pPr>
    </w:p>
    <w:p>
      <w:pPr>
        <w:ind w:firstLine="270"/>
        <w:spacing w:after="0" w:line="283" w:lineRule="auto"/>
        <w:rPr>
          <w:sz w:val="20"/>
          <w:szCs w:val="20"/>
          <w:color w:val="auto"/>
        </w:rPr>
      </w:pPr>
      <w:r>
        <w:rPr>
          <w:rFonts w:ascii="Arial" w:cs="Arial" w:eastAsia="Arial" w:hAnsi="Arial"/>
          <w:sz w:val="16"/>
          <w:szCs w:val="16"/>
          <w:color w:val="auto"/>
        </w:rPr>
        <w:t>In May 2003, we terminated the cross currency rate swap (discussed below), and entered into an interest rate swap that terminates in November 2006. The interest rate swap is being used to convert Euro 105.2 million, 6.125% fixed rate borrowings into Euro 105.2 million, EURIBOR minus 1.55% variable rate borrowings. We entered into the interest rate swap to minimize the impact of changes in the fair value of the Euro debt due to changes in EURIBOR, the benchmark interest rate. The swap has been designated as a fair value hedge under SFAS No. 133. Hedge ineffectiveness is measured as the difference between the respective gains or losses recognized in earnings from the changes in the fair value of the interest rate swap and the Euro debt resulting from changes in the benchmark interest rate, and was de minimis for Fiscal 2005. In addition, we have designated the entire principal of the Euro debt as a hedge of our net investment in certain foreign subsidiaries. As a result, changes in the fair value of the Euro debt resulting from changes in the Euro rate are reported net of income taxes in accumulated other comprehensive income in the consolidated financial statements as an unrealized gain or loss on foreign currency hedges. On April 6, 2004 and October 4, 2004, the Company executed interest rate swaps to convert the fixed interest rate on an additional total of</w:t>
      </w:r>
    </w:p>
    <w:p>
      <w:pPr>
        <w:spacing w:after="0" w:line="7"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€100.0 million of the Eurobonds to a floating rate (EURIBOR based). After the execution of this swap, approximately €22.0 million of the Eurobonds remained at a fixed interest rate.</w:t>
      </w:r>
    </w:p>
    <w:p>
      <w:pPr>
        <w:spacing w:after="0" w:line="76" w:lineRule="exact"/>
        <w:rPr>
          <w:sz w:val="20"/>
          <w:szCs w:val="20"/>
          <w:color w:val="auto"/>
        </w:rPr>
      </w:pPr>
    </w:p>
    <w:p>
      <w:pPr>
        <w:ind w:right="80" w:firstLine="270"/>
        <w:spacing w:after="0" w:line="277" w:lineRule="auto"/>
        <w:rPr>
          <w:sz w:val="20"/>
          <w:szCs w:val="20"/>
          <w:color w:val="auto"/>
        </w:rPr>
      </w:pPr>
      <w:r>
        <w:rPr>
          <w:rFonts w:ascii="Arial" w:cs="Arial" w:eastAsia="Arial" w:hAnsi="Arial"/>
          <w:sz w:val="18"/>
          <w:szCs w:val="18"/>
          <w:color w:val="auto"/>
        </w:rPr>
        <w:t>For the year ended April 2, 2005, Accumulated other comprehensive income included Unrealized losses of $48.7 million related to Euro 227.3 million of foreign investment hedged. For the year ended April 3, 2004,</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 included Unrealized losses of $37.7 million related to Euro 205.8 million of foreign investment hedged.</w:t>
      </w:r>
    </w:p>
    <w:p>
      <w:pPr>
        <w:spacing w:after="0" w:line="117"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In November 2002, the Company entered into forward contracts on 6.2 billion Japanese Yen that terminated in February 2003. These forward contracts were entered into to minimize the impact of foreign exchange fluctuations on the Japanese Yen purchase price in connection with the transactions described in Note 4. The forward contracts did not qualify for hedge accounting under SFAS No. 133 and as such the changes in the fair value of the contracts were recognized currently in earnings. In connection with accounting for these contracts during Fiscal 2003, the Company recognized $2.4 million of foreign exchange gain on these forward contracts, included as a component of foreign currency losses (gains), in the accompanying consolidated statements of income.</w:t>
      </w:r>
    </w:p>
    <w:p>
      <w:pPr>
        <w:spacing w:after="0" w:line="85" w:lineRule="exact"/>
        <w:rPr>
          <w:sz w:val="20"/>
          <w:szCs w:val="20"/>
          <w:color w:val="auto"/>
        </w:rPr>
      </w:pPr>
    </w:p>
    <w:p>
      <w:pPr>
        <w:ind w:right="40" w:firstLine="270"/>
        <w:spacing w:after="0" w:line="273" w:lineRule="auto"/>
        <w:rPr>
          <w:sz w:val="20"/>
          <w:szCs w:val="20"/>
          <w:color w:val="auto"/>
        </w:rPr>
      </w:pPr>
      <w:r>
        <w:rPr>
          <w:rFonts w:ascii="Arial" w:cs="Arial" w:eastAsia="Arial" w:hAnsi="Arial"/>
          <w:sz w:val="17"/>
          <w:szCs w:val="17"/>
          <w:color w:val="auto"/>
        </w:rPr>
        <w:t>In June 2002, we entered into a cross currency rate swap, which was scheduled to terminate in November 2006. The cross currency rate swap was being used to convert Euro 105.2 million, 6.125% fixed rate borrowings into $100.0 million, LIBOR plus 1.24% variable rate borrowings. We entered into the cross currency rate swap to minimize the impact of foreign exchange fluctuations in both principal and interest payments resulting from Euro debt, and to minimize the impact of changes in the fair value of the Euro debt due to changes in LIBOR, the benchmark interest rate. The swap had been designated as a fair value hedge under SFAS No. 133. Hedge ineffectiveness was measured as the difference between the respective gains or losses recognized in earnings from the changes in the fair value of the cross currency rate swap and the Euro debt.</w:t>
      </w:r>
    </w:p>
    <w:p>
      <w:pPr>
        <w:spacing w:after="0" w:line="70" w:lineRule="exact"/>
        <w:rPr>
          <w:sz w:val="20"/>
          <w:szCs w:val="20"/>
          <w:color w:val="auto"/>
        </w:rPr>
      </w:pPr>
    </w:p>
    <w:p>
      <w:pPr>
        <w:ind w:right="40" w:firstLine="270"/>
        <w:spacing w:after="0" w:line="293" w:lineRule="auto"/>
        <w:rPr>
          <w:sz w:val="20"/>
          <w:szCs w:val="20"/>
          <w:color w:val="auto"/>
        </w:rPr>
      </w:pPr>
      <w:r>
        <w:rPr>
          <w:rFonts w:ascii="Arial" w:cs="Arial" w:eastAsia="Arial" w:hAnsi="Arial"/>
          <w:sz w:val="16"/>
          <w:szCs w:val="16"/>
          <w:color w:val="auto"/>
        </w:rPr>
        <w:t>In April 1999, we entered into interest rate swap agreements with commercial banks which expired in 2003 to hedge against interest rate fluctuations. The swap agreements effectively converted borrowings under the 2002 bank credit facility from variable rate to fixed rate obligations. Under the terms of these agreements, we made payments at a fixed rate of 5.5% and received payments from the counterparty based on the notional amount of $100.0 million at a variable rate based on LIBOR. The net interest paid or received on this arrangement was included in interest expense. The fair value of these agreements was based upon the estimated amount that we would have to pay to terminate the agreements, as determined by the financial institutions. The fair value of these agreements was an unrealized loss of $1.3 million at March 29, 2003, all of which was reclassified into earnings during Fiscal 2004.</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April 2, 2005 and April 3, 2004, the Company was party to the following contracts (Dollars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2, 2005</w:t>
            </w:r>
          </w:p>
        </w:tc>
        <w:tc>
          <w:tcPr>
            <w:tcW w:w="78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April 3, 2004</w:t>
            </w:r>
          </w:p>
        </w:tc>
        <w:tc>
          <w:tcPr>
            <w:tcW w:w="8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w w:val="96"/>
              </w:rPr>
              <w:t>Notional</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Fair Value</w:t>
            </w: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Notional</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w w:val="92"/>
              </w:rPr>
              <w:t>Fair Value</w:t>
            </w:r>
          </w:p>
        </w:tc>
        <w:tc>
          <w:tcPr>
            <w:tcW w:w="4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144.9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w:t>
            </w:r>
          </w:p>
        </w:tc>
      </w:tr>
      <w:tr>
        <w:trPr>
          <w:trHeight w:val="230"/>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205.2</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10.9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105.2</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14.9</w:t>
            </w:r>
          </w:p>
        </w:tc>
      </w:tr>
      <w:tr>
        <w:trPr>
          <w:trHeight w:val="391"/>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840" w:type="dxa"/>
            <w:vAlign w:val="bottom"/>
            <w:gridSpan w:val="2"/>
          </w:tcPr>
          <w:p>
            <w:pPr>
              <w:jc w:val="right"/>
              <w:ind w:right="399"/>
              <w:spacing w:after="0"/>
              <w:rPr>
                <w:sz w:val="20"/>
                <w:szCs w:val="20"/>
                <w:color w:val="auto"/>
              </w:rPr>
            </w:pPr>
            <w:r>
              <w:rPr>
                <w:rFonts w:ascii="Arial" w:cs="Arial" w:eastAsia="Arial" w:hAnsi="Arial"/>
                <w:sz w:val="18"/>
                <w:szCs w:val="18"/>
                <w:color w:val="auto"/>
                <w:w w:val="91"/>
              </w:rPr>
              <w:t>F-30</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55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580" w:hanging="572"/>
        <w:spacing w:after="0"/>
        <w:tabs>
          <w:tab w:leader="none" w:pos="5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520" w:firstLine="267"/>
        <w:spacing w:after="0" w:line="342" w:lineRule="auto"/>
        <w:rPr>
          <w:sz w:val="20"/>
          <w:szCs w:val="20"/>
          <w:color w:val="auto"/>
        </w:rPr>
      </w:pPr>
      <w:r>
        <w:rPr>
          <w:rFonts w:ascii="Arial" w:cs="Arial" w:eastAsia="Arial" w:hAnsi="Arial"/>
          <w:sz w:val="16"/>
          <w:szCs w:val="16"/>
          <w:color w:val="auto"/>
        </w:rPr>
        <w:t>We lease office, warehouse and retail space and office equipment under operating leases which expire through 2029. As of April 2, 2005, aggregate minimum annual rental payments under noncancelable operating leases with lease terms in excess of one year were payable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080" w:type="dxa"/>
            <w:vAlign w:val="bottom"/>
            <w:gridSpan w:val="2"/>
          </w:tcPr>
          <w:p>
            <w:pPr>
              <w:spacing w:after="0"/>
              <w:rPr>
                <w:sz w:val="20"/>
                <w:szCs w:val="20"/>
                <w:color w:val="auto"/>
              </w:rPr>
            </w:pPr>
            <w:r>
              <w:rPr>
                <w:rFonts w:ascii="Arial" w:cs="Arial" w:eastAsia="Arial" w:hAnsi="Arial"/>
                <w:sz w:val="14"/>
                <w:szCs w:val="14"/>
                <w:b w:val="1"/>
                <w:bCs w:val="1"/>
                <w:color w:val="auto"/>
              </w:rPr>
              <w:t>Fiscal Year Ending</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9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2006</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121,991</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2007</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121,485</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114,319</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2009</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104,777</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96,169</w:t>
            </w:r>
          </w:p>
        </w:tc>
      </w:tr>
      <w:tr>
        <w:trPr>
          <w:trHeight w:val="223"/>
        </w:trPr>
        <w:tc>
          <w:tcPr>
            <w:tcW w:w="20" w:type="dxa"/>
            <w:vAlign w:val="bottom"/>
          </w:tcPr>
          <w:p>
            <w:pPr>
              <w:spacing w:after="0"/>
              <w:rPr>
                <w:sz w:val="19"/>
                <w:szCs w:val="19"/>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580,694</w:t>
            </w:r>
          </w:p>
        </w:tc>
        <w:tc>
          <w:tcPr>
            <w:tcW w:w="6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1,139,435</w:t>
            </w:r>
          </w:p>
        </w:tc>
      </w:tr>
      <w:tr>
        <w:trPr>
          <w:trHeight w:val="21"/>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70"/>
        <w:spacing w:after="0" w:line="257" w:lineRule="auto"/>
        <w:rPr>
          <w:sz w:val="20"/>
          <w:szCs w:val="20"/>
          <w:color w:val="auto"/>
        </w:rPr>
      </w:pPr>
      <w:r>
        <w:rPr>
          <w:rFonts w:ascii="Arial" w:cs="Arial" w:eastAsia="Arial" w:hAnsi="Arial"/>
          <w:sz w:val="18"/>
          <w:szCs w:val="18"/>
          <w:color w:val="auto"/>
        </w:rPr>
        <w:t>Rent expense charged to operations was $127.8 million, $107.5 million and $93.8 million in Fiscal 2005, Fiscal 2004 and Fiscal 2003, respectively, net of sub-lease income. Substantially all outlet and retail store leases provide for contingent rentals based upon sales and require us to pay taxes, insurance and occupancy costs. Certain rentals are based solely on a percentage of sales. Contingent rental charges included in rent expense were $9.5 million, $8.1 million and $6.9 million in Fiscal 2005, Fiscal 2004 and Fiscal 2003, respectively. These rental amounts exclude associated costs such as real estate taxes and common area maintenance.</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right="120" w:firstLine="267"/>
        <w:spacing w:after="0" w:line="277" w:lineRule="auto"/>
        <w:rPr>
          <w:sz w:val="20"/>
          <w:szCs w:val="20"/>
          <w:color w:val="auto"/>
        </w:rPr>
      </w:pPr>
      <w:r>
        <w:rPr>
          <w:rFonts w:ascii="Arial" w:cs="Arial" w:eastAsia="Arial" w:hAnsi="Arial"/>
          <w:sz w:val="18"/>
          <w:szCs w:val="18"/>
          <w:color w:val="auto"/>
        </w:rPr>
        <w:t>We are party to employment agreements with certain executives which provide for compensation and certain other benefits. The agreements also provide for severance payments under certain circumstances.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See Note 3 for information regarding contingent payments related to acquisitions made by the Company.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20" w:firstLine="267"/>
        <w:spacing w:after="0" w:line="297" w:lineRule="auto"/>
        <w:rPr>
          <w:sz w:val="20"/>
          <w:szCs w:val="20"/>
          <w:color w:val="auto"/>
        </w:rPr>
      </w:pPr>
      <w:r>
        <w:rPr>
          <w:rFonts w:ascii="Arial" w:cs="Arial" w:eastAsia="Arial" w:hAnsi="Arial"/>
          <w:sz w:val="16"/>
          <w:szCs w:val="16"/>
          <w:color w:val="auto"/>
        </w:rPr>
        <w:t>We sell our merchandise primarily to major upscale department stores across the United States and extend credit based on an evaluation of the customer’s financial condition generally without requiring collateral. Credit risk is driven by conditions or occurrences within the economy and the retail industry and is principally dependent on each customer’s financial condition. A decision by the controlling owner of a group of stores or any substantial customer to decrease the amount of merchandise purchased from us or to cease carrying our products could have a material adverse effect. We had three customers who in aggregate constituted approximately 44.9% and 40.1% of trade accounts receivable outstanding at April 2, 2005 and April 3, 2004, respectively.</w:t>
      </w:r>
    </w:p>
    <w:p>
      <w:pPr>
        <w:spacing w:after="0" w:line="50" w:lineRule="exact"/>
        <w:rPr>
          <w:sz w:val="20"/>
          <w:szCs w:val="20"/>
          <w:color w:val="auto"/>
        </w:rPr>
      </w:pPr>
    </w:p>
    <w:p>
      <w:pPr>
        <w:ind w:right="40" w:firstLine="267"/>
        <w:spacing w:after="0" w:line="259" w:lineRule="auto"/>
        <w:rPr>
          <w:sz w:val="20"/>
          <w:szCs w:val="20"/>
          <w:color w:val="auto"/>
        </w:rPr>
      </w:pPr>
      <w:r>
        <w:rPr>
          <w:rFonts w:ascii="Arial" w:cs="Arial" w:eastAsia="Arial" w:hAnsi="Arial"/>
          <w:sz w:val="18"/>
          <w:szCs w:val="18"/>
          <w:color w:val="auto"/>
        </w:rPr>
        <w:t>We had three significant customers who accounted for approximately 18.0%, 17.3% and 15.8% each of worldwide wholesale net sales in Fiscal 2005. These three significant customers accounted for approximately 14.1%, 13.2% and 10.4% each of net sales in Fiscal 2004, and for approximately 12.5%, 9.7% and 8.4% each of net sales in Fiscal 2003. Additionally, we had four significant licensees who in aggregate constituted approximately 38%, 50% and 51% of licensing revenue in Fiscal 2005, Fiscal 2004 and Fiscal 2003, respectively.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40" w:firstLine="267"/>
        <w:spacing w:after="0" w:line="277" w:lineRule="auto"/>
        <w:rPr>
          <w:sz w:val="20"/>
          <w:szCs w:val="20"/>
          <w:color w:val="auto"/>
        </w:rPr>
      </w:pPr>
      <w:r>
        <w:rPr>
          <w:rFonts w:ascii="Arial" w:cs="Arial" w:eastAsia="Arial" w:hAnsi="Arial"/>
          <w:sz w:val="18"/>
          <w:szCs w:val="18"/>
          <w:color w:val="auto"/>
        </w:rPr>
        <w:t>We monitor credit levels and the financial condition of our customers on a continuing basis to minimize credit risk. We believe that adequate provision for credit loss has been made in the accompanying consolidated financial statements.</w:t>
      </w:r>
    </w:p>
    <w:p>
      <w:pPr>
        <w:spacing w:after="0" w:line="62" w:lineRule="exact"/>
        <w:rPr>
          <w:sz w:val="20"/>
          <w:szCs w:val="20"/>
          <w:color w:val="auto"/>
        </w:rPr>
      </w:pPr>
    </w:p>
    <w:p>
      <w:pPr>
        <w:ind w:right="80" w:firstLine="267"/>
        <w:spacing w:after="0" w:line="264" w:lineRule="auto"/>
        <w:rPr>
          <w:sz w:val="20"/>
          <w:szCs w:val="20"/>
          <w:color w:val="auto"/>
        </w:rPr>
      </w:pPr>
      <w:r>
        <w:rPr>
          <w:rFonts w:ascii="Arial" w:cs="Arial" w:eastAsia="Arial" w:hAnsi="Arial"/>
          <w:sz w:val="18"/>
          <w:szCs w:val="18"/>
          <w:color w:val="auto"/>
        </w:rPr>
        <w:t>We are also subject to concentrations of credit risk with respect to our cash and cash equivalents, marketable securities, interest rate swap agreements and forward foreign exchange contracts which we attempt to minimize by entering into these arrangements with major banks and financial institutions and investing in high-quality instruments. We do not expect any counterparties to fail to meet their obligations.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Declaration of Dividends</w:t>
      </w:r>
    </w:p>
    <w:p>
      <w:pPr>
        <w:spacing w:after="0" w:line="117" w:lineRule="exact"/>
        <w:rPr>
          <w:sz w:val="20"/>
          <w:szCs w:val="20"/>
          <w:color w:val="auto"/>
        </w:rPr>
      </w:pPr>
    </w:p>
    <w:p>
      <w:pPr>
        <w:jc w:val="both"/>
        <w:ind w:right="100" w:firstLine="270"/>
        <w:spacing w:after="0" w:line="264" w:lineRule="auto"/>
        <w:rPr>
          <w:sz w:val="20"/>
          <w:szCs w:val="20"/>
          <w:color w:val="auto"/>
        </w:rPr>
      </w:pPr>
      <w:r>
        <w:rPr>
          <w:rFonts w:ascii="Arial" w:cs="Arial" w:eastAsia="Arial" w:hAnsi="Arial"/>
          <w:sz w:val="18"/>
          <w:szCs w:val="18"/>
          <w:color w:val="auto"/>
        </w:rPr>
        <w:t>On May 20, 2003, the Board of Directors initiated a regular quarterly cash dividend program of $0.05 per share, or $0.20 per share on an annual basis, on Polo Ralph Lauren common stock. The fourth quarter dividend was payable to shareholders of record at the close of business on April 1, 2005 and was paid on April 15, 2005.</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Company is not party to any off-balance sheet transactions or unconsolidated special purpose entities for any of the periods presented herein.</w:t>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See Note 21 for information regarding legal proceedings.</w:t>
      </w:r>
    </w:p>
    <w:p>
      <w:pPr>
        <w:spacing w:after="0" w:line="221" w:lineRule="exact"/>
        <w:rPr>
          <w:sz w:val="20"/>
          <w:szCs w:val="20"/>
          <w:color w:val="auto"/>
        </w:rPr>
      </w:pPr>
    </w:p>
    <w:p>
      <w:pPr>
        <w:ind w:left="580" w:hanging="572"/>
        <w:spacing w:after="0"/>
        <w:tabs>
          <w:tab w:leader="none" w:pos="5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Basic EPS is calculated based on income available to common shareholders and the weighted-average number of shares outstanding during the reported period. Diluted EPS includes additional dilution from potential common stock issuable pursuant to the exercise of stock options, restricted stock and restricted stock units outstanding and is calculated under the treasury stock method. The weighted-average number of common shares outstanding used to calculate Basic EPS is reconciled to those shares used in calculation Diluted EPS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2"/>
              </w:rPr>
              <w:t>Fiscal Year Ended</w:t>
            </w:r>
          </w:p>
        </w:tc>
        <w:tc>
          <w:tcPr>
            <w:tcW w:w="10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13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rPr>
              <w:t>April 2,</w:t>
            </w:r>
          </w:p>
        </w:tc>
        <w:tc>
          <w:tcPr>
            <w:tcW w:w="400" w:type="dxa"/>
            <w:vAlign w:val="bottom"/>
          </w:tcPr>
          <w:p>
            <w:pPr>
              <w:spacing w:after="0"/>
              <w:rPr>
                <w:sz w:val="11"/>
                <w:szCs w:val="11"/>
                <w:color w:val="auto"/>
              </w:rPr>
            </w:pPr>
          </w:p>
        </w:tc>
        <w:tc>
          <w:tcPr>
            <w:tcW w:w="1800" w:type="dxa"/>
            <w:vAlign w:val="bottom"/>
            <w:gridSpan w:val="2"/>
          </w:tcPr>
          <w:p>
            <w:pPr>
              <w:jc w:val="center"/>
              <w:ind w:right="720"/>
              <w:spacing w:after="0" w:line="133" w:lineRule="exact"/>
              <w:rPr>
                <w:sz w:val="20"/>
                <w:szCs w:val="20"/>
                <w:color w:val="auto"/>
              </w:rPr>
            </w:pPr>
            <w:r>
              <w:rPr>
                <w:rFonts w:ascii="Arial" w:cs="Arial" w:eastAsia="Arial" w:hAnsi="Arial"/>
                <w:sz w:val="14"/>
                <w:szCs w:val="14"/>
                <w:b w:val="1"/>
                <w:bCs w:val="1"/>
                <w:color w:val="auto"/>
              </w:rPr>
              <w:t>April 3,</w:t>
            </w:r>
          </w:p>
        </w:tc>
        <w:tc>
          <w:tcPr>
            <w:tcW w:w="1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March 29,</w:t>
            </w: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2004</w:t>
            </w:r>
          </w:p>
        </w:tc>
        <w:tc>
          <w:tcPr>
            <w:tcW w:w="700" w:type="dxa"/>
            <w:vAlign w:val="bottom"/>
          </w:tcPr>
          <w:p>
            <w:pPr>
              <w:spacing w:after="0"/>
              <w:rPr>
                <w:sz w:val="14"/>
                <w:szCs w:val="14"/>
                <w:color w:val="auto"/>
              </w:rPr>
            </w:pPr>
          </w:p>
        </w:tc>
        <w:tc>
          <w:tcPr>
            <w:tcW w:w="10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(Shares in thousands)</w:t>
            </w: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101,519</w:t>
            </w:r>
          </w:p>
        </w:tc>
        <w:tc>
          <w:tcPr>
            <w:tcW w:w="22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98,977</w:t>
            </w: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98,331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Dilutive effect of stock options, restricted stock and restricted stock units</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2,491</w:t>
            </w:r>
          </w:p>
        </w:tc>
        <w:tc>
          <w:tcPr>
            <w:tcW w:w="2200" w:type="dxa"/>
            <w:vAlign w:val="bottom"/>
            <w:gridSpan w:val="3"/>
          </w:tcPr>
          <w:p>
            <w:pPr>
              <w:jc w:val="right"/>
              <w:ind w:right="700"/>
              <w:spacing w:after="0"/>
              <w:rPr>
                <w:sz w:val="20"/>
                <w:szCs w:val="20"/>
                <w:color w:val="auto"/>
              </w:rPr>
            </w:pPr>
            <w:r>
              <w:rPr>
                <w:rFonts w:ascii="Arial" w:cs="Arial" w:eastAsia="Arial" w:hAnsi="Arial"/>
                <w:sz w:val="18"/>
                <w:szCs w:val="18"/>
                <w:color w:val="auto"/>
              </w:rPr>
              <w:t>1,983</w:t>
            </w: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Diluted shares</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104,010</w:t>
            </w:r>
          </w:p>
        </w:tc>
        <w:tc>
          <w:tcPr>
            <w:tcW w:w="22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100,960</w:t>
            </w: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99,263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0" w:firstLine="270"/>
        <w:spacing w:after="0" w:line="264" w:lineRule="auto"/>
        <w:rPr>
          <w:sz w:val="20"/>
          <w:szCs w:val="20"/>
          <w:color w:val="auto"/>
        </w:rPr>
      </w:pPr>
      <w:r>
        <w:rPr>
          <w:rFonts w:ascii="Arial" w:cs="Arial" w:eastAsia="Arial" w:hAnsi="Arial"/>
          <w:sz w:val="18"/>
          <w:szCs w:val="18"/>
          <w:color w:val="auto"/>
        </w:rPr>
        <w:t>Options to purchase shares of common stock at an exercise price greater than the average market price of the common stock are anti-dilutive and therefore not included in the computation of diluted earnings per share. For the year ended April 2, 2005 and April 3, 2004, there were less than 20,000 anti-dilutive options and stock grants excluded from the diluted share calculation for each year.</w:t>
      </w:r>
    </w:p>
    <w:p>
      <w:pPr>
        <w:spacing w:after="0" w:line="177" w:lineRule="exact"/>
        <w:rPr>
          <w:sz w:val="20"/>
          <w:szCs w:val="20"/>
          <w:color w:val="auto"/>
        </w:rPr>
      </w:pPr>
    </w:p>
    <w:p>
      <w:pPr>
        <w:ind w:left="580" w:hanging="572"/>
        <w:spacing w:after="0"/>
        <w:tabs>
          <w:tab w:leader="none" w:pos="5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60" w:firstLine="260"/>
        <w:spacing w:after="0" w:line="264" w:lineRule="auto"/>
        <w:rPr>
          <w:sz w:val="20"/>
          <w:szCs w:val="20"/>
          <w:color w:val="auto"/>
        </w:rPr>
      </w:pPr>
      <w:r>
        <w:rPr>
          <w:rFonts w:ascii="Arial" w:cs="Arial" w:eastAsia="Arial" w:hAnsi="Arial"/>
          <w:sz w:val="18"/>
          <w:szCs w:val="18"/>
          <w:color w:val="auto"/>
        </w:rPr>
        <w:t>All of our outstanding Class B common stock is owned by Mr. Ralph Lauren and related entities and all of our formerly outstanding Class C common stock was owned by certain investment funds affiliated with The Goldman Sachs Group, Inc. (“GS Group”). Shares of Class B common stock are convertible at any time into</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shares of Class A common stock on a one-for-one basis and may not be transferred to anyone other than affiliates of Mr. Lauren. Shares of Class C common stock were convertible at any time into shares of Class A common stock on a one-for-one basis. During Fiscal 2003, 11.0 million shares of Class C common stock were converted into Class A common stock and sold in a secondary stock offering. During Fiscal 2004, the remaining Class C shares held by GS Group were converted into Class A common stock and sold in a secondary stock offering. There is no longer any Class C common stock outstanding. The holders of Class A common stock generally have rights identical to holders of Class B common stock except that holders of Class A common stock are entitled to one vote per share and holders of Class B common stock are entitled to 10 votes per share. Holders of all classes of common stock entitled to vote will vote together as a single class on all matters presented to the stockholders for their vote or approval except for the election and the removal of directors and as otherwise required by applicable law.</w:t>
      </w:r>
    </w:p>
    <w:p>
      <w:pPr>
        <w:spacing w:after="0" w:line="71" w:lineRule="exact"/>
        <w:rPr>
          <w:sz w:val="20"/>
          <w:szCs w:val="20"/>
          <w:color w:val="auto"/>
        </w:rPr>
      </w:pPr>
    </w:p>
    <w:p>
      <w:pPr>
        <w:ind w:right="20" w:firstLine="270"/>
        <w:spacing w:after="0" w:line="270" w:lineRule="auto"/>
        <w:rPr>
          <w:sz w:val="20"/>
          <w:szCs w:val="20"/>
          <w:color w:val="auto"/>
        </w:rPr>
      </w:pPr>
      <w:r>
        <w:rPr>
          <w:rFonts w:ascii="Arial" w:cs="Arial" w:eastAsia="Arial" w:hAnsi="Arial"/>
          <w:sz w:val="17"/>
          <w:szCs w:val="17"/>
          <w:color w:val="auto"/>
        </w:rPr>
        <w:t>In March 1998, our Board of Directors authorized the repurchase, subject to market conditions, of up to $100.0 million of our Shares. Share repurchases were made in the open market over the two-year period which commenced April 1, 1998. The Board of Directors has authorized the extension of the stock repurchase program through April 1, 2006. Shares acquired under the repurchase program will be used for stock option programs and for other corporate purposes. The repurchased shares have been accounted for as treasury stock at cost. As of April 2, 2005, we had repurchased 4,087,906 Shares at an aggregate cost of $77.5 million. No shares were repurchased under the stock repurchase program during Fiscal 2005. On February 2, 2005, we announced that our Board of Directors had approved an additional stock repurchase plan which allows for the purchase of up to an additional $100.0 million in our stock. The new repurchase plan does not have a termination date. Certain employees tendered stock in satisfaction of federal and state withholding taxes incurred due to the vesting of shares granted under our stock incentive plan. These transactions are treated as stock repurchases and amounted to approximately $1.0 million in Fiscal 2005.</w:t>
      </w:r>
    </w:p>
    <w:p>
      <w:pPr>
        <w:spacing w:after="0" w:line="178" w:lineRule="exact"/>
        <w:rPr>
          <w:sz w:val="20"/>
          <w:szCs w:val="20"/>
          <w:color w:val="auto"/>
        </w:rPr>
      </w:pPr>
    </w:p>
    <w:p>
      <w:pPr>
        <w:ind w:left="580" w:hanging="572"/>
        <w:spacing w:after="0"/>
        <w:tabs>
          <w:tab w:leader="none" w:pos="5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Plans</w:t>
      </w:r>
    </w:p>
    <w:p>
      <w:pPr>
        <w:spacing w:after="0" w:line="121" w:lineRule="exact"/>
        <w:rPr>
          <w:sz w:val="20"/>
          <w:szCs w:val="20"/>
          <w:color w:val="auto"/>
        </w:rPr>
      </w:pPr>
    </w:p>
    <w:p>
      <w:pPr>
        <w:ind w:firstLine="270"/>
        <w:spacing w:after="0" w:line="254" w:lineRule="auto"/>
        <w:rPr>
          <w:sz w:val="20"/>
          <w:szCs w:val="20"/>
          <w:color w:val="auto"/>
        </w:rPr>
      </w:pPr>
      <w:r>
        <w:rPr>
          <w:rFonts w:ascii="Arial" w:cs="Arial" w:eastAsia="Arial" w:hAnsi="Arial"/>
          <w:sz w:val="18"/>
          <w:szCs w:val="18"/>
          <w:color w:val="auto"/>
        </w:rPr>
        <w:t>On June 9, 1997, our Board of Directors adopted the 1997 Long-Term Stock Incentive Plan (Stock Incentive Plan). The Stock Incentive Plan authorizes the grant of awards to any officer or other employee, consultant to, or director with respect to a maximum of 10.0 million shares of our Class A common stock (“Shares”), subject to adjustment to avoid dilution or enlargement of intended benefits in the event of certain significant corporate events, which awards may be made in the form of: (i) nonqualified stock options; (ii) stock options intended to qualify as incentive stock options under Section 422 of the Internal Revenue Code; (iii) stock appreciation rights; (iv) restricted stock and/or restricted stock units; (v) performance awards; and (vi) other stock-based awards. On June 13, 2000, our Board of Directors increased the maximum number of Shares that can be granted under the Stock Incentive Plan to 20.0 million Shares, which was approved by the stockholders on August 17, 2000. At April 2, 2005, we had approximately 3.3 million Shares reserved for issuance under this plan.</w:t>
      </w:r>
    </w:p>
    <w:p>
      <w:pPr>
        <w:spacing w:after="0" w:line="84" w:lineRule="exact"/>
        <w:rPr>
          <w:sz w:val="20"/>
          <w:szCs w:val="20"/>
          <w:color w:val="auto"/>
        </w:rPr>
      </w:pPr>
    </w:p>
    <w:p>
      <w:pPr>
        <w:ind w:firstLine="270"/>
        <w:spacing w:after="0" w:line="279" w:lineRule="auto"/>
        <w:rPr>
          <w:sz w:val="20"/>
          <w:szCs w:val="20"/>
          <w:color w:val="auto"/>
        </w:rPr>
      </w:pPr>
      <w:r>
        <w:rPr>
          <w:rFonts w:ascii="Arial" w:cs="Arial" w:eastAsia="Arial" w:hAnsi="Arial"/>
          <w:sz w:val="17"/>
          <w:szCs w:val="17"/>
          <w:color w:val="auto"/>
        </w:rPr>
        <w:t>On June 9, 1997, our Board of Directors adopted the 1997 Stock Option Plan for Non-Employee Directors (Non-Employee Directors Plan). Under the Non-Employee Directors Plan, grants of options to purchase up to 500,000 Shares may be granted to non-employee directors. In Fiscal 2005, 2004 and 2003 our Board of Directors granted options to purchase 21,000, 22,500, and 18,000 Shares with exercise prices equal to the stock’s fair market value on the date of grant. At April 2, 2005, we had approximately 341,000 shares reserved for issuance under this plan.</w:t>
      </w:r>
    </w:p>
    <w:p>
      <w:pPr>
        <w:spacing w:after="0" w:line="63" w:lineRule="exact"/>
        <w:rPr>
          <w:sz w:val="20"/>
          <w:szCs w:val="20"/>
          <w:color w:val="auto"/>
        </w:rPr>
      </w:pPr>
    </w:p>
    <w:p>
      <w:pPr>
        <w:ind w:right="40" w:firstLine="270"/>
        <w:spacing w:after="0" w:line="264" w:lineRule="auto"/>
        <w:rPr>
          <w:sz w:val="20"/>
          <w:szCs w:val="20"/>
          <w:color w:val="auto"/>
        </w:rPr>
      </w:pPr>
      <w:r>
        <w:rPr>
          <w:rFonts w:ascii="Arial" w:cs="Arial" w:eastAsia="Arial" w:hAnsi="Arial"/>
          <w:sz w:val="18"/>
          <w:szCs w:val="18"/>
          <w:color w:val="auto"/>
        </w:rPr>
        <w:t>Stock options were granted under the plans with an exercise price equal to the stock’s fair market value on the date of grant. These options vest in equal installments primarily over two years for officers and other key employees and over three years for all remaining employees and non-employee directors. The options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expire 10 years from the date of grant. Stock option activity for the Stock Incentive Plan and Non-Employee Directors Plan in Fiscal 2005, 2004 and 2003 was as follows (Shares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auto"/>
                <w:w w:val="93"/>
              </w:rPr>
              <w:t>of Shares</w:t>
            </w:r>
          </w:p>
        </w:tc>
        <w:tc>
          <w:tcPr>
            <w:tcW w:w="38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1"/>
              </w:rPr>
              <w:t>Exercise Price</w:t>
            </w:r>
          </w:p>
        </w:tc>
        <w:tc>
          <w:tcPr>
            <w:tcW w:w="7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Balance at March 30, 2002</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22.16</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60" w:type="dxa"/>
            <w:vAlign w:val="bottom"/>
            <w:gridSpan w:val="2"/>
            <w:vMerge w:val="restart"/>
          </w:tcPr>
          <w:p>
            <w:pPr>
              <w:ind w:left="300"/>
              <w:spacing w:after="0"/>
              <w:rPr>
                <w:sz w:val="20"/>
                <w:szCs w:val="20"/>
                <w:color w:val="auto"/>
              </w:rPr>
            </w:pPr>
            <w:r>
              <w:rPr>
                <w:rFonts w:ascii="Arial" w:cs="Arial" w:eastAsia="Arial" w:hAnsi="Arial"/>
                <w:sz w:val="18"/>
                <w:szCs w:val="18"/>
                <w:color w:val="auto"/>
              </w:rPr>
              <w:t>Granted</w:t>
            </w: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gridSpan w:val="2"/>
            <w:vMerge w:val="continue"/>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23.72</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Exercised</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18.21</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ind w:left="300"/>
              <w:spacing w:after="0"/>
              <w:rPr>
                <w:sz w:val="20"/>
                <w:szCs w:val="20"/>
                <w:color w:val="auto"/>
              </w:rPr>
            </w:pPr>
            <w:r>
              <w:rPr>
                <w:rFonts w:ascii="Arial" w:cs="Arial" w:eastAsia="Arial" w:hAnsi="Arial"/>
                <w:sz w:val="18"/>
                <w:szCs w:val="18"/>
                <w:color w:val="auto"/>
              </w:rPr>
              <w:t>Forfeited</w:t>
            </w: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(945)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23.60</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Balance at March 29, 2003</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21.75</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60" w:type="dxa"/>
            <w:vAlign w:val="bottom"/>
            <w:gridSpan w:val="2"/>
            <w:vMerge w:val="restart"/>
          </w:tcPr>
          <w:p>
            <w:pPr>
              <w:ind w:left="300"/>
              <w:spacing w:after="0"/>
              <w:rPr>
                <w:sz w:val="20"/>
                <w:szCs w:val="20"/>
                <w:color w:val="auto"/>
              </w:rPr>
            </w:pPr>
            <w:r>
              <w:rPr>
                <w:rFonts w:ascii="Arial" w:cs="Arial" w:eastAsia="Arial" w:hAnsi="Arial"/>
                <w:sz w:val="18"/>
                <w:szCs w:val="18"/>
                <w:color w:val="auto"/>
              </w:rPr>
              <w:t>Granted</w:t>
            </w: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gridSpan w:val="2"/>
            <w:vMerge w:val="continue"/>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24.30</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Exercised</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(1,950)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20.72</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ind w:left="300"/>
              <w:spacing w:after="0"/>
              <w:rPr>
                <w:sz w:val="20"/>
                <w:szCs w:val="20"/>
                <w:color w:val="auto"/>
              </w:rPr>
            </w:pPr>
            <w:r>
              <w:rPr>
                <w:rFonts w:ascii="Arial" w:cs="Arial" w:eastAsia="Arial" w:hAnsi="Arial"/>
                <w:sz w:val="18"/>
                <w:szCs w:val="18"/>
                <w:color w:val="auto"/>
              </w:rPr>
              <w:t>Forfeited</w:t>
            </w: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(592)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23.82</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April 3, 2004</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23.43</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60" w:type="dxa"/>
            <w:vAlign w:val="bottom"/>
            <w:gridSpan w:val="2"/>
            <w:vMerge w:val="restart"/>
          </w:tcPr>
          <w:p>
            <w:pPr>
              <w:ind w:left="300"/>
              <w:spacing w:after="0"/>
              <w:rPr>
                <w:sz w:val="20"/>
                <w:szCs w:val="20"/>
                <w:color w:val="auto"/>
              </w:rPr>
            </w:pPr>
            <w:r>
              <w:rPr>
                <w:rFonts w:ascii="Arial" w:cs="Arial" w:eastAsia="Arial" w:hAnsi="Arial"/>
                <w:sz w:val="18"/>
                <w:szCs w:val="18"/>
                <w:color w:val="auto"/>
              </w:rPr>
              <w:t>Granted</w:t>
            </w: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gridSpan w:val="2"/>
            <w:vMerge w:val="continue"/>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33.97</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Exercised</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(2,443)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22.21</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ind w:left="300"/>
              <w:spacing w:after="0"/>
              <w:rPr>
                <w:sz w:val="20"/>
                <w:szCs w:val="20"/>
                <w:color w:val="auto"/>
              </w:rPr>
            </w:pPr>
            <w:r>
              <w:rPr>
                <w:rFonts w:ascii="Arial" w:cs="Arial" w:eastAsia="Arial" w:hAnsi="Arial"/>
                <w:sz w:val="18"/>
                <w:szCs w:val="18"/>
                <w:color w:val="auto"/>
              </w:rPr>
              <w:t>Forfeited</w:t>
            </w: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(541)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25.77</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April 2, 2005</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25.68</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9080" w:type="dxa"/>
            <w:vAlign w:val="bottom"/>
            <w:gridSpan w:val="13"/>
          </w:tcPr>
          <w:p>
            <w:pPr>
              <w:jc w:val="center"/>
              <w:ind w:right="540"/>
              <w:spacing w:after="0"/>
              <w:rPr>
                <w:sz w:val="20"/>
                <w:szCs w:val="20"/>
                <w:color w:val="auto"/>
              </w:rPr>
            </w:pPr>
            <w:r>
              <w:rPr>
                <w:rFonts w:ascii="Arial" w:cs="Arial" w:eastAsia="Arial" w:hAnsi="Arial"/>
                <w:sz w:val="18"/>
                <w:szCs w:val="18"/>
                <w:color w:val="auto"/>
                <w:w w:val="91"/>
              </w:rPr>
              <w:t>Additional information relating to options outstanding as of April 2, 2005, was as follows (shares in thousands):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Range of</w:t>
            </w: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Number of</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91"/>
              </w:rPr>
              <w:t>Weighted-Average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Weighted-Average</w:t>
            </w:r>
          </w:p>
        </w:tc>
        <w:tc>
          <w:tcPr>
            <w:tcW w:w="200" w:type="dxa"/>
            <w:vAlign w:val="bottom"/>
          </w:tcPr>
          <w:p>
            <w:pPr>
              <w:spacing w:after="0"/>
              <w:rPr>
                <w:sz w:val="24"/>
                <w:szCs w:val="24"/>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2180" w:type="dxa"/>
            <w:vAlign w:val="bottom"/>
            <w:gridSpan w:val="3"/>
            <w:vMerge w:val="continue"/>
          </w:tcPr>
          <w:p>
            <w:pPr>
              <w:spacing w:after="0"/>
              <w:rPr>
                <w:sz w:val="12"/>
                <w:szCs w:val="12"/>
                <w:color w:val="auto"/>
              </w:rPr>
            </w:pPr>
          </w:p>
        </w:tc>
        <w:tc>
          <w:tcPr>
            <w:tcW w:w="15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Shares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00" w:type="dxa"/>
            <w:vAlign w:val="bottom"/>
          </w:tcPr>
          <w:p>
            <w:pPr>
              <w:spacing w:after="0"/>
              <w:rPr>
                <w:sz w:val="12"/>
                <w:szCs w:val="12"/>
                <w:color w:val="auto"/>
              </w:rPr>
            </w:pPr>
          </w:p>
        </w:tc>
        <w:tc>
          <w:tcPr>
            <w:tcW w:w="12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9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Exercise Prices</w:t>
            </w:r>
          </w:p>
        </w:tc>
        <w:tc>
          <w:tcPr>
            <w:tcW w:w="24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54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6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3"/>
              </w:rPr>
              <w:t>Options Outstanding</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0"/>
              </w:rPr>
              <w:t>Exercisable Options</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$13.94-$17.06</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682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14.61</w:t>
            </w:r>
          </w:p>
        </w:tc>
        <w:tc>
          <w:tcPr>
            <w:tcW w:w="14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682</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$17.13-$19.56</w:t>
            </w:r>
          </w:p>
        </w:tc>
        <w:tc>
          <w:tcPr>
            <w:tcW w:w="240" w:type="dxa"/>
            <w:vAlign w:val="bottom"/>
          </w:tcPr>
          <w:p>
            <w:pPr>
              <w:spacing w:after="0"/>
              <w:rPr>
                <w:sz w:val="18"/>
                <w:szCs w:val="18"/>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1,007</w:t>
            </w: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right"/>
              <w:ind w:right="580"/>
              <w:spacing w:after="0"/>
              <w:rPr>
                <w:sz w:val="20"/>
                <w:szCs w:val="20"/>
                <w:color w:val="auto"/>
              </w:rPr>
            </w:pPr>
            <w:r>
              <w:rPr>
                <w:rFonts w:ascii="Arial" w:cs="Arial" w:eastAsia="Arial" w:hAnsi="Arial"/>
                <w:sz w:val="18"/>
                <w:szCs w:val="18"/>
                <w:color w:val="auto"/>
              </w:rPr>
              <w:t>18.71</w:t>
            </w:r>
          </w:p>
        </w:tc>
        <w:tc>
          <w:tcPr>
            <w:tcW w:w="1440" w:type="dxa"/>
            <w:vAlign w:val="bottom"/>
            <w:gridSpan w:val="4"/>
          </w:tcPr>
          <w:p>
            <w:pPr>
              <w:jc w:val="right"/>
              <w:ind w:right="280"/>
              <w:spacing w:after="0"/>
              <w:rPr>
                <w:sz w:val="20"/>
                <w:szCs w:val="20"/>
                <w:color w:val="auto"/>
              </w:rPr>
            </w:pPr>
            <w:r>
              <w:rPr>
                <w:rFonts w:ascii="Arial" w:cs="Arial" w:eastAsia="Arial" w:hAnsi="Arial"/>
                <w:sz w:val="18"/>
                <w:szCs w:val="18"/>
                <w:color w:val="auto"/>
              </w:rPr>
              <w:t>740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right"/>
              <w:ind w:right="540"/>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$20.19-$25.69</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2,934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24.25</w:t>
            </w:r>
          </w:p>
        </w:tc>
        <w:tc>
          <w:tcPr>
            <w:tcW w:w="14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1,286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$26.00-$42.25</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5,003</w:t>
            </w: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29.42</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3,113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right"/>
              <w:ind w:right="540"/>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9,626</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25.68</w:t>
            </w:r>
          </w:p>
        </w:tc>
        <w:tc>
          <w:tcPr>
            <w:tcW w:w="14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5,821</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00" w:firstLine="270"/>
        <w:spacing w:after="0" w:line="288" w:lineRule="auto"/>
        <w:rPr>
          <w:sz w:val="20"/>
          <w:szCs w:val="20"/>
          <w:color w:val="auto"/>
        </w:rPr>
      </w:pPr>
      <w:r>
        <w:rPr>
          <w:rFonts w:ascii="Arial" w:cs="Arial" w:eastAsia="Arial" w:hAnsi="Arial"/>
          <w:sz w:val="16"/>
          <w:szCs w:val="16"/>
          <w:color w:val="auto"/>
        </w:rPr>
        <w:t>In June 2004, the Compensation Committee granted 100,000 restricted stock units, payable solely in shares of our Class A Common Stock, under our Stock Incentive Plan. This was the second of five annual grants pursuant to an employment agreement. Each grant vests on the fifth anniversary of the grant date, subject to acceleration in certain circumstances, including termination of the executive’s employment after the end of Fiscal 2008 for any reason other than termination by the Company for cause, and is payable following the termination of the executive’s employment. Additional restricted stock units are issued in respect of outstanding grants as dividend equivalents in connection with the payment of dividends on our Class A Common Stock. In June 2004, an aggregate of approximately 230,000 performance based restricted stock units and approximately 1.4 million options to purchase shares of our Class A Common Stock were granted to certain employees under the Stock Incentive Plan. The restricted stock units will vest in Fiscal 2008, subject to the Company’s satisfaction of performance goals, and the options will vest in three equal installments on the first three anniversaries of the grant date. The exercise price of the options is the fair market value of the Class A Common Stock on the grant date. In July 2004, the Company issued an aggregate of 437,500 restricted stock units under our Stock Incentive Plan pursuant to an employment agreement. Of these units,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187,500 are performance based and will vest over the next three years, subject to the Company’s satisfaction of performance goals, and 250,000 will vest in three equal installments at the end of Fiscal 2008, Fiscal 2009 and Fiscal 2010 and will be paid upon the termination of the executive’s employment. These units are entitled to dividend equivalents, and the employment agreement provides for the grant of up to an additional 562,500 performance based units that would vest, subject to the Company’s achievement of performance goals for periods ending at the close of Fiscal 2008, Fiscal 2009 and Fiscal 2010.</w:t>
      </w:r>
    </w:p>
    <w:p>
      <w:pPr>
        <w:spacing w:after="0" w:line="46"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On October 1, 2004, the Company issued 75,000 restricted shares of Class A Common Stock and options to purchase 200,000 shares of Class A Common Stock pursuant to an employment agreement. The restricted stock will vest in equal installments on the first five anniversaries of the grant dates. An additional 75,000 options to purchase 75,000 shares of Class A Common Stock were granted under our Stock Incentive Plan to new hires during the Fiscal 2005.</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Total stock compensation expense, for the year ended April 2, 2005 was $12.9 million, compared to $4.1 million for the year ended April 3, 2004.</w:t>
      </w:r>
    </w:p>
    <w:p>
      <w:pPr>
        <w:spacing w:after="0" w:line="129" w:lineRule="exact"/>
        <w:rPr>
          <w:sz w:val="20"/>
          <w:szCs w:val="20"/>
          <w:color w:val="auto"/>
        </w:rPr>
      </w:pPr>
    </w:p>
    <w:p>
      <w:pPr>
        <w:ind w:right="900" w:firstLine="270"/>
        <w:spacing w:after="0" w:line="277" w:lineRule="auto"/>
        <w:rPr>
          <w:sz w:val="20"/>
          <w:szCs w:val="20"/>
          <w:color w:val="auto"/>
        </w:rPr>
      </w:pPr>
      <w:r>
        <w:rPr>
          <w:rFonts w:ascii="Arial" w:cs="Arial" w:eastAsia="Arial" w:hAnsi="Arial"/>
          <w:sz w:val="18"/>
          <w:szCs w:val="18"/>
          <w:color w:val="auto"/>
        </w:rPr>
        <w:t>During Fiscal 2005 and Fiscal 2004, the Company realized a tax benefit due to the exercise of stock options of $18.6 million and $5.7 million, respectively.</w:t>
      </w:r>
    </w:p>
    <w:p>
      <w:pPr>
        <w:spacing w:after="0" w:line="62" w:lineRule="exact"/>
        <w:rPr>
          <w:sz w:val="20"/>
          <w:szCs w:val="20"/>
          <w:color w:val="auto"/>
        </w:rPr>
      </w:pPr>
    </w:p>
    <w:p>
      <w:pPr>
        <w:ind w:right="40" w:firstLine="270"/>
        <w:spacing w:after="0" w:line="257" w:lineRule="auto"/>
        <w:rPr>
          <w:sz w:val="20"/>
          <w:szCs w:val="20"/>
          <w:color w:val="auto"/>
        </w:rPr>
      </w:pPr>
      <w:r>
        <w:rPr>
          <w:rFonts w:ascii="Arial" w:cs="Arial" w:eastAsia="Arial" w:hAnsi="Arial"/>
          <w:sz w:val="18"/>
          <w:szCs w:val="18"/>
          <w:color w:val="auto"/>
        </w:rPr>
        <w:t>In September 2003, the compensation committee of our Board of Directors modified, subject to the employee’s continued employment through March 31, 2004, certain outstanding stock options as part of an employee’s retirement. The vesting of certain options granted with respect to 100,000 shares, that would otherwise have vested in June 2004, was accelerated to March 31, 2004, and the exercise period of options to purchase 342,000 shares, that would otherwise expire upon the employee’s retirement date, was extended to June 30, 2005. Total compensation expense related to these modifications and recorded in Net income in Fiscal 2004 was $0.3 million.</w:t>
      </w:r>
    </w:p>
    <w:p>
      <w:pPr>
        <w:spacing w:after="0" w:line="80" w:lineRule="exact"/>
        <w:rPr>
          <w:sz w:val="20"/>
          <w:szCs w:val="20"/>
          <w:color w:val="auto"/>
        </w:rPr>
      </w:pPr>
    </w:p>
    <w:p>
      <w:pPr>
        <w:ind w:right="100" w:firstLine="270"/>
        <w:spacing w:after="0" w:line="270" w:lineRule="auto"/>
        <w:rPr>
          <w:sz w:val="20"/>
          <w:szCs w:val="20"/>
          <w:color w:val="auto"/>
        </w:rPr>
      </w:pPr>
      <w:r>
        <w:rPr>
          <w:rFonts w:ascii="Arial" w:cs="Arial" w:eastAsia="Arial" w:hAnsi="Arial"/>
          <w:sz w:val="17"/>
          <w:szCs w:val="17"/>
          <w:color w:val="auto"/>
        </w:rPr>
        <w:t>In June 2003, a grant of 100,000 restricted stock units was made under our Stock Incentive Plan, and a total of 541 restricted stock units were granted during Fiscal 2004 in respect of the initial grant in connection with the payment of quarterly cash dividends on our common stock. An additional 100,000 restricted stock units will be granted on each anniversary of the first grant date pursuant to an employment agreement with an initial term ending on the last day of Fiscal 2008, and additional units (the “dividend units”) will be granted in respect of the then outstanding restricted stock units in connection with each cash dividend paid on our common stock. The restricted stock units vest on the fifth anniversary of the grant date (with the dividend units vesting with the underlying restricted stock units in respect of which they are granted) and will be payable solely in shares of common stock following termination of employment. The vesting of all then outstanding unvested restricted stock units will be accelerated if termination of employment occurs after the last day of Fiscal 2008, except in the case of termination by the company for cause. The unearned compensation in respect of the grants made during the initial term is being amortized over the period ending on that date.</w:t>
      </w:r>
    </w:p>
    <w:p>
      <w:pPr>
        <w:spacing w:after="0" w:line="74"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In July 2002, 300,000 Shares of restricted stock were granted under the Stock Incentive Plan. These shares are subject to restrictions on transfer and the risk of forfeiture until earned, and vest as follows: 20% on each of the first five anniversaries of the grant date. The unearned compensation is being amortized over a period equal to the anticipated vesting.</w:t>
      </w:r>
    </w:p>
    <w:p>
      <w:pPr>
        <w:spacing w:after="0" w:line="73" w:lineRule="exact"/>
        <w:rPr>
          <w:sz w:val="20"/>
          <w:szCs w:val="20"/>
          <w:color w:val="auto"/>
        </w:rPr>
      </w:pPr>
    </w:p>
    <w:p>
      <w:pPr>
        <w:jc w:val="both"/>
        <w:ind w:right="80" w:firstLine="270"/>
        <w:spacing w:after="0" w:line="264" w:lineRule="auto"/>
        <w:rPr>
          <w:sz w:val="20"/>
          <w:szCs w:val="20"/>
          <w:color w:val="auto"/>
        </w:rPr>
      </w:pPr>
      <w:r>
        <w:rPr>
          <w:rFonts w:ascii="Arial" w:cs="Arial" w:eastAsia="Arial" w:hAnsi="Arial"/>
          <w:sz w:val="18"/>
          <w:szCs w:val="18"/>
          <w:color w:val="auto"/>
        </w:rPr>
        <w:t>In April 2000, 118,299 Shares of restricted stock were granted under the Stock Incentive Plan. These shares are subject to restrictions on transfer and the risk of forfeiture until earned, and vest as follows: 25% each on the second, third, fourth and fifth anniversaries of the grant date. The unearned compensation is being amortized over a period equal to the anticipated vesting.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580" w:hanging="572"/>
        <w:spacing w:after="0"/>
        <w:tabs>
          <w:tab w:leader="none" w:pos="5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Profit Sharing Retirement Savings Plans</w:t>
      </w:r>
    </w:p>
    <w:p>
      <w:pPr>
        <w:spacing w:after="0" w:line="117" w:lineRule="exact"/>
        <w:rPr>
          <w:sz w:val="20"/>
          <w:szCs w:val="20"/>
          <w:color w:val="auto"/>
        </w:rPr>
      </w:pPr>
    </w:p>
    <w:p>
      <w:pPr>
        <w:ind w:firstLine="267"/>
        <w:spacing w:after="0" w:line="264" w:lineRule="auto"/>
        <w:rPr>
          <w:sz w:val="20"/>
          <w:szCs w:val="20"/>
          <w:color w:val="auto"/>
        </w:rPr>
      </w:pPr>
      <w:r>
        <w:rPr>
          <w:rFonts w:ascii="Arial" w:cs="Arial" w:eastAsia="Arial" w:hAnsi="Arial"/>
          <w:sz w:val="18"/>
          <w:szCs w:val="18"/>
          <w:color w:val="auto"/>
        </w:rPr>
        <w:t>We sponsor two defined contribution benefit plans covering substantially all eligible United States employees not covered by a collective bargaining agreement. The plans include a savings plan feature under Section 401(k) of the Internal Revenue Code. We make discretionary contributions to the plans and contribute an amount equal to 50% of the first 6% of an employee’s contribution.</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Under the terms of the plans, a participant is 100% vested in our matching and discretionary contributions after five years of credited service.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Contributions under these plans approximated $3.9 million, $4.4 million and $3.1 million in Fiscal 2005, Fiscal 2004 and Fiscal 2003, respectively.</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Supplemental Retirement Plan</w:t>
      </w:r>
    </w:p>
    <w:p>
      <w:pPr>
        <w:spacing w:after="0" w:line="117" w:lineRule="exact"/>
        <w:rPr>
          <w:sz w:val="20"/>
          <w:szCs w:val="20"/>
          <w:color w:val="auto"/>
        </w:rPr>
      </w:pPr>
    </w:p>
    <w:p>
      <w:pPr>
        <w:ind w:right="20" w:firstLine="267"/>
        <w:spacing w:after="0" w:line="272" w:lineRule="auto"/>
        <w:rPr>
          <w:sz w:val="20"/>
          <w:szCs w:val="20"/>
          <w:color w:val="auto"/>
        </w:rPr>
      </w:pPr>
      <w:r>
        <w:rPr>
          <w:rFonts w:ascii="Arial" w:cs="Arial" w:eastAsia="Arial" w:hAnsi="Arial"/>
          <w:sz w:val="17"/>
          <w:szCs w:val="17"/>
          <w:color w:val="auto"/>
        </w:rPr>
        <w:t>The Company has a non-qualified supplemental retirement plan for certain highly compensated employees whose benefits under the 401(k) profit sharing retirement savings plans are expected to be constrained by the operation of certain Internal Revenue Code limitations. These supplemental benefits vest over time and the compensation expense related to these benefits is recognized over the vesting period. The amounts accrued under these plans were $21.2 million and $17.5 million at April 2, 2005 and April 3, 2004, and are reflected in other noncurrent liabilities in the accompanying consolidated balance sheets. Total compensation expense related to these benefits was $3.7 million, $3.8 million and $1.4 million in Fiscal 2005, Fiscal 2004 and Fiscal 2003, respectively. This liability is partially funded through whole-life policies, which had cash surrender values of $13.3 million and $12.5 million at April 2, 2005 and April 3, 2004, and are reflected in other assets in the accompanying consolidated balance sheets.</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117" w:lineRule="exact"/>
        <w:rPr>
          <w:sz w:val="20"/>
          <w:szCs w:val="20"/>
          <w:color w:val="auto"/>
        </w:rPr>
      </w:pPr>
    </w:p>
    <w:p>
      <w:pPr>
        <w:ind w:right="160" w:firstLine="267"/>
        <w:spacing w:after="0" w:line="288" w:lineRule="auto"/>
        <w:rPr>
          <w:sz w:val="20"/>
          <w:szCs w:val="20"/>
          <w:color w:val="auto"/>
        </w:rPr>
      </w:pPr>
      <w:r>
        <w:rPr>
          <w:rFonts w:ascii="Arial" w:cs="Arial" w:eastAsia="Arial" w:hAnsi="Arial"/>
          <w:sz w:val="16"/>
          <w:szCs w:val="16"/>
          <w:color w:val="auto"/>
        </w:rPr>
        <w:t>We have deferred compensation arrangements for certain key executives which generally provide for payments upon retirement, death or termination of employment. The amounts accrued under these plans were $2.2 million and $4.0 million at April 2, 2005 and April 3, 2004, and are reflected in other noncurrent liabilities in the accompanying consolidated balance sheets. Total compensation expense related to these compensation arrangements was</w:t>
      </w:r>
    </w:p>
    <w:p>
      <w:pPr>
        <w:jc w:val="both"/>
        <w:ind w:right="60"/>
        <w:spacing w:after="0" w:line="255" w:lineRule="auto"/>
        <w:rPr>
          <w:sz w:val="20"/>
          <w:szCs w:val="20"/>
          <w:color w:val="auto"/>
        </w:rPr>
      </w:pPr>
      <w:r>
        <w:rPr>
          <w:rFonts w:ascii="Arial" w:cs="Arial" w:eastAsia="Arial" w:hAnsi="Arial"/>
          <w:sz w:val="18"/>
          <w:szCs w:val="18"/>
          <w:color w:val="auto"/>
        </w:rPr>
        <w:t>$0.4 million for Fiscal 2005 and $0.7 million each year for Fiscal 2004 and Fiscal 2003. We fund a portion of these obligations through the establishment of trust accounts on behalf of the executives participating in the plans. The trust accounts are reflected in other assets in the accompanying consolidated balance sheets.</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Union Pension</w:t>
      </w:r>
    </w:p>
    <w:p>
      <w:pPr>
        <w:spacing w:after="0" w:line="117" w:lineRule="exact"/>
        <w:rPr>
          <w:sz w:val="20"/>
          <w:szCs w:val="20"/>
          <w:color w:val="auto"/>
        </w:rPr>
      </w:pPr>
    </w:p>
    <w:p>
      <w:pPr>
        <w:ind w:right="200" w:firstLine="267"/>
        <w:spacing w:after="0" w:line="259" w:lineRule="auto"/>
        <w:rPr>
          <w:sz w:val="20"/>
          <w:szCs w:val="20"/>
          <w:color w:val="auto"/>
        </w:rPr>
      </w:pPr>
      <w:r>
        <w:rPr>
          <w:rFonts w:ascii="Arial" w:cs="Arial" w:eastAsia="Arial" w:hAnsi="Arial"/>
          <w:sz w:val="18"/>
          <w:szCs w:val="18"/>
          <w:color w:val="auto"/>
        </w:rPr>
        <w:t>We participate in a multi-employer pension plan and are required to make contributions to the Union of Needletrades Industrial and Textile Employees (“Union”) for dues based on wages paid to union employees. A portion of these dues is allocated by the Union to a retirement fund which provides defined benefits to substantially all unionized workers. We do not participate in the management of the plan and have not been furnished with information with respect to the type of benefits provided, vested and nonvested benefits or assets.</w:t>
      </w:r>
    </w:p>
    <w:p>
      <w:pPr>
        <w:spacing w:after="0" w:line="79" w:lineRule="exact"/>
        <w:rPr>
          <w:sz w:val="20"/>
          <w:szCs w:val="20"/>
          <w:color w:val="auto"/>
        </w:rPr>
      </w:pPr>
    </w:p>
    <w:p>
      <w:pPr>
        <w:jc w:val="both"/>
        <w:ind w:right="60" w:firstLine="270"/>
        <w:spacing w:after="0" w:line="286" w:lineRule="auto"/>
        <w:rPr>
          <w:sz w:val="20"/>
          <w:szCs w:val="20"/>
          <w:color w:val="auto"/>
        </w:rPr>
      </w:pPr>
      <w:r>
        <w:rPr>
          <w:rFonts w:ascii="Arial" w:cs="Arial" w:eastAsia="Arial" w:hAnsi="Arial"/>
          <w:sz w:val="17"/>
          <w:szCs w:val="17"/>
          <w:color w:val="auto"/>
        </w:rPr>
        <w:t>Under the Employee Retirement Income Security Act of 1974, as amended, an employer, upon withdrawal from or termination of a multi-employer plan, is required to continue funding its proportionate share of the plan’s unfunded vested benefits. Such withdrawal liability was assumed in conjunction with the acquisition of certain assets from a non-affiliated licensee. We have no current intention of withdrawing from the plan.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580" w:hanging="572"/>
        <w:spacing w:after="0"/>
        <w:tabs>
          <w:tab w:leader="none" w:pos="5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firstLine="267"/>
        <w:spacing w:after="0" w:line="254" w:lineRule="auto"/>
        <w:rPr>
          <w:sz w:val="20"/>
          <w:szCs w:val="20"/>
          <w:color w:val="auto"/>
        </w:rPr>
      </w:pPr>
      <w:r>
        <w:rPr>
          <w:rFonts w:ascii="Arial" w:cs="Arial" w:eastAsia="Arial" w:hAnsi="Arial"/>
          <w:sz w:val="18"/>
          <w:szCs w:val="18"/>
          <w:color w:val="auto"/>
        </w:rPr>
        <w:t>The Company has three reportable segments: Wholesale, Retail and Licensing. The Company’s reportable segments are business units that offer different products and services or similar products through different channels of distribution. The Wholesale segment consists of women’s, men’s and children’s apparel and related products which are sold to major department stores and specialty stores and to our owned and licensed retail stores in the United States and overseas. The retail segment consists of the Company’s worldwide retail operations which sells our products through our full price and outlet stores as well as Polo.com, our e-commerce site. The stores and the website sell our products purchased from our licensees, our suppliers and our wholesale segment. The Licensing segment, which consists of product, international and home, generates revenues from royalties through its licensing alliances. The licensing agreements grant the licensee rights to use our various trademarks in connection with the manufacture and sale of designated products in specified geographical areas.</w:t>
      </w:r>
    </w:p>
    <w:p>
      <w:pPr>
        <w:spacing w:after="0" w:line="84" w:lineRule="exact"/>
        <w:rPr>
          <w:sz w:val="20"/>
          <w:szCs w:val="20"/>
          <w:color w:val="auto"/>
        </w:rPr>
      </w:pPr>
    </w:p>
    <w:p>
      <w:pPr>
        <w:ind w:firstLine="267"/>
        <w:spacing w:after="0" w:line="290" w:lineRule="auto"/>
        <w:rPr>
          <w:sz w:val="20"/>
          <w:szCs w:val="20"/>
          <w:color w:val="auto"/>
        </w:rPr>
      </w:pPr>
      <w:r>
        <w:rPr>
          <w:rFonts w:ascii="Arial" w:cs="Arial" w:eastAsia="Arial" w:hAnsi="Arial"/>
          <w:sz w:val="16"/>
          <w:szCs w:val="16"/>
          <w:color w:val="auto"/>
        </w:rPr>
        <w:t>The accounting policies of the segments are consistent with those described in Note 1. Intersegment sales and transfers are recorded at cost and treated as transfer of inventory. All intercompany revenues are eliminated in consolidation. We do not review these sales when evaluating segment performance. We evaluate each segment’s performance based upon operating income before interest, foreign currency gains and losses, restructuring charges, one-time items, such as the $100 million litigation reserve in 2005, and income taxes. In conjunction with an evaluation of our overall segment reporting, we have changed our method of allocating corporate expenses to each segment to more appropriately reflect those corporate expenses directly related to segments. Therefore, Corporate overhead expenses, exclusive of expenses for senior management, overall branding related expenses and certain other corporate related expenses, are allocated to the segments based upon specific usage or other allocation methods beginning with the fourth quarter of Fiscal 2005. As a result of this change, all prior year segment results have been restated to reflect how management currently views the business.</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200" w:firstLine="270"/>
        <w:spacing w:after="0" w:line="277" w:lineRule="auto"/>
        <w:rPr>
          <w:sz w:val="20"/>
          <w:szCs w:val="20"/>
          <w:color w:val="auto"/>
        </w:rPr>
      </w:pPr>
      <w:r>
        <w:rPr>
          <w:rFonts w:ascii="Arial" w:cs="Arial" w:eastAsia="Arial" w:hAnsi="Arial"/>
          <w:sz w:val="18"/>
          <w:szCs w:val="18"/>
          <w:color w:val="auto"/>
        </w:rPr>
        <w:t>Our net revenues, income from operations, depreciation and amortization expense and capital expenditures for Fiscal 2005, Fiscal 2004 and Fiscal 2003 and total assets as of April 2, 2005 and April 3, 2004, for each segment were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center"/>
              <w:ind w:right="760"/>
              <w:spacing w:after="0"/>
              <w:rPr>
                <w:sz w:val="20"/>
                <w:szCs w:val="20"/>
                <w:color w:val="auto"/>
              </w:rPr>
            </w:pPr>
            <w:r>
              <w:rPr>
                <w:rFonts w:ascii="Arial" w:cs="Arial" w:eastAsia="Arial" w:hAnsi="Arial"/>
                <w:sz w:val="14"/>
                <w:szCs w:val="14"/>
                <w:b w:val="1"/>
                <w:bCs w:val="1"/>
                <w:color w:val="auto"/>
                <w:w w:val="92"/>
              </w:rPr>
              <w:t>Fiscal Year Ended</w:t>
            </w: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tcPr>
          <w:p>
            <w:pPr>
              <w:jc w:val="right"/>
              <w:ind w:right="780"/>
              <w:spacing w:after="0" w:line="133" w:lineRule="exact"/>
              <w:rPr>
                <w:sz w:val="20"/>
                <w:szCs w:val="20"/>
                <w:color w:val="auto"/>
              </w:rPr>
            </w:pPr>
            <w:r>
              <w:rPr>
                <w:rFonts w:ascii="Arial" w:cs="Arial" w:eastAsia="Arial" w:hAnsi="Arial"/>
                <w:sz w:val="14"/>
                <w:szCs w:val="14"/>
                <w:b w:val="1"/>
                <w:bCs w:val="1"/>
                <w:color w:val="auto"/>
              </w:rPr>
              <w:t>April 2,</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gridSpan w:val="2"/>
          </w:tcPr>
          <w:p>
            <w:pPr>
              <w:jc w:val="center"/>
              <w:ind w:right="980"/>
              <w:spacing w:after="0" w:line="133" w:lineRule="exact"/>
              <w:rPr>
                <w:sz w:val="20"/>
                <w:szCs w:val="20"/>
                <w:color w:val="auto"/>
              </w:rPr>
            </w:pPr>
            <w:r>
              <w:rPr>
                <w:rFonts w:ascii="Arial" w:cs="Arial" w:eastAsia="Arial" w:hAnsi="Arial"/>
                <w:sz w:val="14"/>
                <w:szCs w:val="14"/>
                <w:b w:val="1"/>
                <w:bCs w:val="1"/>
                <w:color w:val="auto"/>
                <w:w w:val="96"/>
              </w:rPr>
              <w:t>April 3,</w:t>
            </w:r>
          </w:p>
        </w:tc>
        <w:tc>
          <w:tcPr>
            <w:tcW w:w="200" w:type="dxa"/>
            <w:vAlign w:val="bottom"/>
          </w:tcPr>
          <w:p>
            <w:pPr>
              <w:spacing w:after="0"/>
              <w:rPr>
                <w:sz w:val="11"/>
                <w:szCs w:val="11"/>
                <w:color w:val="auto"/>
              </w:rPr>
            </w:pPr>
          </w:p>
        </w:tc>
        <w:tc>
          <w:tcPr>
            <w:tcW w:w="1000" w:type="dxa"/>
            <w:vAlign w:val="bottom"/>
          </w:tcPr>
          <w:p>
            <w:pPr>
              <w:jc w:val="right"/>
              <w:ind w:right="192"/>
              <w:spacing w:after="0" w:line="133" w:lineRule="exact"/>
              <w:rPr>
                <w:sz w:val="20"/>
                <w:szCs w:val="20"/>
                <w:color w:val="auto"/>
              </w:rPr>
            </w:pPr>
            <w:r>
              <w:rPr>
                <w:rFonts w:ascii="Arial" w:cs="Arial" w:eastAsia="Arial" w:hAnsi="Arial"/>
                <w:sz w:val="14"/>
                <w:szCs w:val="14"/>
                <w:b w:val="1"/>
                <w:bCs w:val="1"/>
                <w:color w:val="auto"/>
              </w:rPr>
              <w:t>March 29,</w:t>
            </w: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6"/>
              </w:rPr>
              <w:t>2004</w:t>
            </w:r>
          </w:p>
        </w:tc>
        <w:tc>
          <w:tcPr>
            <w:tcW w:w="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60"/>
              <w:spacing w:after="0"/>
              <w:rPr>
                <w:sz w:val="20"/>
                <w:szCs w:val="20"/>
                <w:color w:val="auto"/>
              </w:rPr>
            </w:pPr>
            <w:r>
              <w:rPr>
                <w:rFonts w:ascii="Arial" w:cs="Arial" w:eastAsia="Arial" w:hAnsi="Arial"/>
                <w:sz w:val="18"/>
                <w:szCs w:val="18"/>
                <w:color w:val="auto"/>
              </w:rPr>
              <w:t>Wholesale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1,712,040</w:t>
            </w:r>
          </w:p>
        </w:tc>
        <w:tc>
          <w:tcPr>
            <w:tcW w:w="580" w:type="dxa"/>
            <w:vAlign w:val="bottom"/>
            <w:gridSpan w:val="2"/>
          </w:tcPr>
          <w:p>
            <w:pPr>
              <w:jc w:val="right"/>
              <w:ind w:right="54"/>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1,210,397</w:t>
            </w:r>
          </w:p>
        </w:tc>
        <w:tc>
          <w:tcPr>
            <w:tcW w:w="7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1,187,363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Retail</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1,348,645</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1,170,447</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1,001,958</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260"/>
              <w:spacing w:after="0"/>
              <w:rPr>
                <w:sz w:val="20"/>
                <w:szCs w:val="20"/>
                <w:color w:val="auto"/>
              </w:rPr>
            </w:pPr>
            <w:r>
              <w:rPr>
                <w:rFonts w:ascii="Arial" w:cs="Arial" w:eastAsia="Arial" w:hAnsi="Arial"/>
                <w:sz w:val="18"/>
                <w:szCs w:val="18"/>
                <w:color w:val="auto"/>
              </w:rPr>
              <w:t>Licensing</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244,730</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268,810</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250,019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3,305,415</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2,649,654</w:t>
            </w:r>
          </w:p>
        </w:tc>
        <w:tc>
          <w:tcPr>
            <w:tcW w:w="76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2,439,340</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Wholesale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299,710</w:t>
            </w:r>
          </w:p>
        </w:tc>
        <w:tc>
          <w:tcPr>
            <w:tcW w:w="580" w:type="dxa"/>
            <w:vAlign w:val="bottom"/>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143,080</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166,016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60"/>
              <w:spacing w:after="0"/>
              <w:rPr>
                <w:sz w:val="20"/>
                <w:szCs w:val="20"/>
                <w:color w:val="auto"/>
              </w:rPr>
            </w:pPr>
            <w:r>
              <w:rPr>
                <w:rFonts w:ascii="Arial" w:cs="Arial" w:eastAsia="Arial" w:hAnsi="Arial"/>
                <w:sz w:val="18"/>
                <w:szCs w:val="18"/>
                <w:color w:val="auto"/>
              </w:rPr>
              <w:t>Retail</w:t>
            </w:r>
          </w:p>
        </w:tc>
        <w:tc>
          <w:tcPr>
            <w:tcW w:w="24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82,788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55,717</w:t>
            </w:r>
          </w:p>
        </w:tc>
        <w:tc>
          <w:tcPr>
            <w:tcW w:w="20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30,707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Licensing</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159,537</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191,575</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200,189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542,035</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390,372</w:t>
            </w:r>
          </w:p>
        </w:tc>
        <w:tc>
          <w:tcPr>
            <w:tcW w:w="7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396,912</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Less: Unallocated Corporate expense</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(133,809)</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(99,915)</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(91,614)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ind w:left="520"/>
              <w:spacing w:after="0"/>
              <w:rPr>
                <w:sz w:val="20"/>
                <w:szCs w:val="20"/>
                <w:color w:val="auto"/>
              </w:rPr>
            </w:pPr>
            <w:r>
              <w:rPr>
                <w:rFonts w:ascii="Arial" w:cs="Arial" w:eastAsia="Arial" w:hAnsi="Arial"/>
                <w:sz w:val="18"/>
                <w:szCs w:val="18"/>
                <w:color w:val="auto"/>
              </w:rPr>
              <w:t>Unallocated legal and restructuring expenses</w:t>
            </w:r>
          </w:p>
        </w:tc>
        <w:tc>
          <w:tcPr>
            <w:tcW w:w="2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(108,541)</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(19,566)</w:t>
            </w:r>
          </w:p>
        </w:tc>
        <w:tc>
          <w:tcPr>
            <w:tcW w:w="7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(14,443)</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299,685</w:t>
            </w:r>
          </w:p>
        </w:tc>
        <w:tc>
          <w:tcPr>
            <w:tcW w:w="580" w:type="dxa"/>
            <w:vAlign w:val="bottom"/>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270,891</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290,855</w:t>
            </w:r>
          </w:p>
        </w:tc>
        <w:tc>
          <w:tcPr>
            <w:tcW w:w="0" w:type="dxa"/>
            <w:vAlign w:val="bottom"/>
          </w:tcPr>
          <w:p>
            <w:pPr>
              <w:spacing w:after="0"/>
              <w:rPr>
                <w:sz w:val="1"/>
                <w:szCs w:val="1"/>
                <w:color w:val="auto"/>
              </w:rPr>
            </w:pPr>
          </w:p>
        </w:tc>
      </w:tr>
      <w:tr>
        <w:trPr>
          <w:trHeight w:val="21"/>
        </w:trPr>
        <w:tc>
          <w:tcPr>
            <w:tcW w:w="5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Depreciation and amortization: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Wholesale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28,362</w:t>
            </w:r>
          </w:p>
        </w:tc>
        <w:tc>
          <w:tcPr>
            <w:tcW w:w="580" w:type="dxa"/>
            <w:vAlign w:val="bottom"/>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23,123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60"/>
              <w:spacing w:after="0"/>
              <w:rPr>
                <w:sz w:val="20"/>
                <w:szCs w:val="20"/>
                <w:color w:val="auto"/>
              </w:rPr>
            </w:pPr>
            <w:r>
              <w:rPr>
                <w:rFonts w:ascii="Arial" w:cs="Arial" w:eastAsia="Arial" w:hAnsi="Arial"/>
                <w:sz w:val="18"/>
                <w:szCs w:val="18"/>
                <w:color w:val="auto"/>
              </w:rPr>
              <w:t>Retail</w:t>
            </w:r>
          </w:p>
        </w:tc>
        <w:tc>
          <w:tcPr>
            <w:tcW w:w="24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44,029</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36,213</w:t>
            </w:r>
          </w:p>
        </w:tc>
        <w:tc>
          <w:tcPr>
            <w:tcW w:w="20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35,574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Licensing</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6,422</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60"/>
              <w:spacing w:after="0"/>
              <w:rPr>
                <w:sz w:val="20"/>
                <w:szCs w:val="20"/>
                <w:color w:val="auto"/>
              </w:rPr>
            </w:pPr>
            <w:r>
              <w:rPr>
                <w:rFonts w:ascii="Arial" w:cs="Arial" w:eastAsia="Arial" w:hAnsi="Arial"/>
                <w:sz w:val="18"/>
                <w:szCs w:val="18"/>
                <w:color w:val="auto"/>
              </w:rPr>
              <w:t>Unallocated Corporate expense</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24,820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20,531</w:t>
            </w:r>
          </w:p>
        </w:tc>
        <w:tc>
          <w:tcPr>
            <w:tcW w:w="20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18,745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103,633</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85,635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80,618</w:t>
            </w:r>
          </w:p>
        </w:tc>
        <w:tc>
          <w:tcPr>
            <w:tcW w:w="0" w:type="dxa"/>
            <w:vAlign w:val="bottom"/>
          </w:tcPr>
          <w:p>
            <w:pPr>
              <w:spacing w:after="0"/>
              <w:rPr>
                <w:sz w:val="1"/>
                <w:szCs w:val="1"/>
                <w:color w:val="auto"/>
              </w:rPr>
            </w:pPr>
          </w:p>
        </w:tc>
      </w:tr>
      <w:tr>
        <w:trPr>
          <w:trHeight w:val="21"/>
        </w:trPr>
        <w:tc>
          <w:tcPr>
            <w:tcW w:w="5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Capital expenditures: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Wholesale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50,590</w:t>
            </w:r>
          </w:p>
        </w:tc>
        <w:tc>
          <w:tcPr>
            <w:tcW w:w="580" w:type="dxa"/>
            <w:vAlign w:val="bottom"/>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33,491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60"/>
              <w:spacing w:after="0"/>
              <w:rPr>
                <w:sz w:val="20"/>
                <w:szCs w:val="20"/>
                <w:color w:val="auto"/>
              </w:rPr>
            </w:pPr>
            <w:r>
              <w:rPr>
                <w:rFonts w:ascii="Arial" w:cs="Arial" w:eastAsia="Arial" w:hAnsi="Arial"/>
                <w:sz w:val="18"/>
                <w:szCs w:val="18"/>
                <w:color w:val="auto"/>
              </w:rPr>
              <w:t>Retail</w:t>
            </w:r>
          </w:p>
        </w:tc>
        <w:tc>
          <w:tcPr>
            <w:tcW w:w="24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77,512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45,480</w:t>
            </w:r>
          </w:p>
        </w:tc>
        <w:tc>
          <w:tcPr>
            <w:tcW w:w="20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39,455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Licensing</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3,105</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44,638</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45,408</w:t>
            </w:r>
          </w:p>
        </w:tc>
        <w:tc>
          <w:tcPr>
            <w:tcW w:w="20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25,364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175,845</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126,250</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102,426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line="20" w:lineRule="exact"/>
        <w:rPr>
          <w:sz w:val="20"/>
          <w:szCs w:val="20"/>
          <w:color w:val="auto"/>
        </w:rPr>
      </w:pPr>
    </w:p>
    <w:p>
      <w:pPr>
        <w:jc w:val="center"/>
        <w:ind w:left="7020"/>
        <w:spacing w:after="0"/>
        <w:rPr>
          <w:sz w:val="20"/>
          <w:szCs w:val="20"/>
          <w:color w:val="auto"/>
        </w:rPr>
      </w:pPr>
      <w:r>
        <w:rPr>
          <w:rFonts w:ascii="Arial" w:cs="Arial" w:eastAsia="Arial" w:hAnsi="Arial"/>
          <w:sz w:val="13"/>
          <w:szCs w:val="13"/>
          <w:b w:val="1"/>
          <w:bCs w:val="1"/>
          <w:color w:val="auto"/>
        </w:rPr>
        <w:t>April 2,</w:t>
      </w:r>
    </w:p>
    <w:p>
      <w:pPr>
        <w:spacing w:after="0" w:line="9" w:lineRule="exact"/>
        <w:rPr>
          <w:sz w:val="20"/>
          <w:szCs w:val="20"/>
          <w:color w:val="auto"/>
        </w:rPr>
      </w:pPr>
    </w:p>
    <w:p>
      <w:pPr>
        <w:jc w:val="center"/>
        <w:ind w:left="7020"/>
        <w:spacing w:after="0"/>
        <w:rPr>
          <w:sz w:val="20"/>
          <w:szCs w:val="20"/>
          <w:color w:val="auto"/>
        </w:rPr>
      </w:pPr>
      <w:r>
        <w:rPr>
          <w:rFonts w:ascii="Arial" w:cs="Arial" w:eastAsia="Arial" w:hAnsi="Arial"/>
          <w:sz w:val="14"/>
          <w:szCs w:val="14"/>
          <w:b w:val="1"/>
          <w:bCs w:val="1"/>
          <w:color w:val="auto"/>
        </w:rPr>
        <w:t>2005</w:t>
      </w:r>
    </w:p>
    <w:p>
      <w:pPr>
        <w:spacing w:after="0" w:line="20" w:lineRule="exact"/>
        <w:rPr>
          <w:sz w:val="20"/>
          <w:szCs w:val="20"/>
          <w:color w:val="auto"/>
        </w:rPr>
      </w:pPr>
      <w:r>
        <w:rPr>
          <w:sz w:val="20"/>
          <w:szCs w:val="20"/>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April 3,</w:t>
      </w:r>
    </w:p>
    <w:p>
      <w:pPr>
        <w:jc w:val="center"/>
        <w:ind w:right="900"/>
        <w:spacing w:after="0" w:line="236" w:lineRule="auto"/>
        <w:rPr>
          <w:sz w:val="20"/>
          <w:szCs w:val="20"/>
          <w:color w:val="auto"/>
        </w:rPr>
      </w:pPr>
      <w:r>
        <w:rPr>
          <w:rFonts w:ascii="Arial" w:cs="Arial" w:eastAsia="Arial" w:hAnsi="Arial"/>
          <w:sz w:val="14"/>
          <w:szCs w:val="14"/>
          <w:b w:val="1"/>
          <w:bCs w:val="1"/>
          <w:color w:val="auto"/>
        </w:rPr>
        <w:t>2004</w:t>
      </w:r>
    </w:p>
    <w:p>
      <w:pPr>
        <w:spacing w:after="0" w:line="1" w:lineRule="exact"/>
        <w:rPr>
          <w:sz w:val="20"/>
          <w:szCs w:val="20"/>
          <w:color w:val="auto"/>
        </w:rPr>
      </w:pPr>
    </w:p>
    <w:p>
      <w:pPr>
        <w:sectPr>
          <w:pgSz w:w="11900" w:h="16838" w:orient="portrait"/>
          <w:cols w:equalWidth="0" w:num="2">
            <w:col w:w="9320" w:space="720"/>
            <w:col w:w="1380"/>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2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r>
      <w:tr>
        <w:trPr>
          <w:trHeight w:val="216"/>
        </w:trPr>
        <w:tc>
          <w:tcPr>
            <w:tcW w:w="3300" w:type="dxa"/>
            <w:vAlign w:val="bottom"/>
          </w:tcPr>
          <w:p>
            <w:pPr>
              <w:ind w:left="300"/>
              <w:spacing w:after="0"/>
              <w:rPr>
                <w:sz w:val="20"/>
                <w:szCs w:val="20"/>
                <w:color w:val="auto"/>
              </w:rPr>
            </w:pPr>
            <w:r>
              <w:rPr>
                <w:rFonts w:ascii="Arial" w:cs="Arial" w:eastAsia="Arial" w:hAnsi="Arial"/>
                <w:sz w:val="18"/>
                <w:szCs w:val="18"/>
                <w:color w:val="auto"/>
              </w:rPr>
              <w:t>Wholesale</w:t>
            </w:r>
          </w:p>
        </w:tc>
        <w:tc>
          <w:tcPr>
            <w:tcW w:w="45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1,247,694</w:t>
            </w:r>
          </w:p>
        </w:tc>
        <w:tc>
          <w:tcPr>
            <w:tcW w:w="420" w:type="dxa"/>
            <w:vAlign w:val="bottom"/>
          </w:tcPr>
          <w:p>
            <w:pPr>
              <w:spacing w:after="0"/>
              <w:rPr>
                <w:sz w:val="18"/>
                <w:szCs w:val="18"/>
                <w:color w:val="auto"/>
              </w:rPr>
            </w:pP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857,721</w:t>
            </w:r>
          </w:p>
        </w:tc>
      </w:tr>
      <w:tr>
        <w:trPr>
          <w:trHeight w:val="216"/>
        </w:trPr>
        <w:tc>
          <w:tcPr>
            <w:tcW w:w="3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Retail</w:t>
            </w:r>
          </w:p>
        </w:tc>
        <w:tc>
          <w:tcPr>
            <w:tcW w:w="4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605,783</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595,185</w:t>
            </w:r>
          </w:p>
        </w:tc>
      </w:tr>
      <w:tr>
        <w:trPr>
          <w:trHeight w:val="216"/>
        </w:trPr>
        <w:tc>
          <w:tcPr>
            <w:tcW w:w="3300" w:type="dxa"/>
            <w:vAlign w:val="bottom"/>
          </w:tcPr>
          <w:p>
            <w:pPr>
              <w:ind w:left="300"/>
              <w:spacing w:after="0"/>
              <w:rPr>
                <w:sz w:val="20"/>
                <w:szCs w:val="20"/>
                <w:color w:val="auto"/>
              </w:rPr>
            </w:pPr>
            <w:r>
              <w:rPr>
                <w:rFonts w:ascii="Arial" w:cs="Arial" w:eastAsia="Arial" w:hAnsi="Arial"/>
                <w:sz w:val="18"/>
                <w:szCs w:val="18"/>
                <w:color w:val="auto"/>
              </w:rPr>
              <w:t>Licensing</w:t>
            </w:r>
          </w:p>
        </w:tc>
        <w:tc>
          <w:tcPr>
            <w:tcW w:w="4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203,306</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200,136</w:t>
            </w:r>
          </w:p>
        </w:tc>
      </w:tr>
      <w:tr>
        <w:trPr>
          <w:trHeight w:val="216"/>
        </w:trPr>
        <w:tc>
          <w:tcPr>
            <w:tcW w:w="3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Corporate</w:t>
            </w:r>
          </w:p>
        </w:tc>
        <w:tc>
          <w:tcPr>
            <w:tcW w:w="4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669,886</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644,510</w:t>
            </w:r>
          </w:p>
        </w:tc>
      </w:tr>
      <w:tr>
        <w:trPr>
          <w:trHeight w:val="223"/>
        </w:trPr>
        <w:tc>
          <w:tcPr>
            <w:tcW w:w="330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2,726,669</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2,297,552</w:t>
            </w:r>
          </w:p>
        </w:tc>
        <w:tc>
          <w:tcPr>
            <w:tcW w:w="520" w:type="dxa"/>
            <w:vAlign w:val="bottom"/>
          </w:tcPr>
          <w:p>
            <w:pPr>
              <w:spacing w:after="0"/>
              <w:rPr>
                <w:sz w:val="19"/>
                <w:szCs w:val="19"/>
                <w:color w:val="auto"/>
              </w:rPr>
            </w:pPr>
          </w:p>
        </w:tc>
      </w:tr>
      <w:tr>
        <w:trPr>
          <w:trHeight w:val="21"/>
        </w:trPr>
        <w:tc>
          <w:tcPr>
            <w:tcW w:w="33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3300" w:type="dxa"/>
            <w:vAlign w:val="bottom"/>
          </w:tcPr>
          <w:p>
            <w:pPr>
              <w:spacing w:after="0"/>
              <w:rPr>
                <w:sz w:val="24"/>
                <w:szCs w:val="24"/>
                <w:color w:val="auto"/>
              </w:rPr>
            </w:pPr>
          </w:p>
        </w:tc>
        <w:tc>
          <w:tcPr>
            <w:tcW w:w="4560" w:type="dxa"/>
            <w:vAlign w:val="bottom"/>
            <w:gridSpan w:val="2"/>
          </w:tcPr>
          <w:p>
            <w:pPr>
              <w:jc w:val="right"/>
              <w:ind w:right="1890"/>
              <w:spacing w:after="0"/>
              <w:rPr>
                <w:sz w:val="20"/>
                <w:szCs w:val="20"/>
                <w:color w:val="auto"/>
              </w:rPr>
            </w:pPr>
            <w:r>
              <w:rPr>
                <w:rFonts w:ascii="Arial" w:cs="Arial" w:eastAsia="Arial" w:hAnsi="Arial"/>
                <w:sz w:val="18"/>
                <w:szCs w:val="18"/>
                <w:color w:val="auto"/>
              </w:rPr>
              <w:t>F-38</w:t>
            </w: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6"/>
        </w:trPr>
        <w:tc>
          <w:tcPr>
            <w:tcW w:w="3300" w:type="dxa"/>
            <w:vAlign w:val="bottom"/>
            <w:tcBorders>
              <w:bottom w:val="single" w:sz="8" w:color="808080"/>
            </w:tcBorders>
          </w:tcPr>
          <w:p>
            <w:pPr>
              <w:spacing w:after="0"/>
              <w:rPr>
                <w:sz w:val="19"/>
                <w:szCs w:val="19"/>
                <w:color w:val="auto"/>
              </w:rPr>
            </w:pPr>
          </w:p>
        </w:tc>
        <w:tc>
          <w:tcPr>
            <w:tcW w:w="42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01" w:name="page102"/>
    <w:bookmarkEnd w:id="10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180" w:firstLine="270"/>
        <w:spacing w:after="0" w:line="277" w:lineRule="auto"/>
        <w:rPr>
          <w:sz w:val="20"/>
          <w:szCs w:val="20"/>
          <w:color w:val="auto"/>
        </w:rPr>
      </w:pPr>
      <w:r>
        <w:rPr>
          <w:rFonts w:ascii="Arial" w:cs="Arial" w:eastAsia="Arial" w:hAnsi="Arial"/>
          <w:sz w:val="18"/>
          <w:szCs w:val="18"/>
          <w:color w:val="auto"/>
        </w:rPr>
        <w:t>Our net revenues for Fiscal 2005, Fiscal 2004 and Fiscal 2003, and our long-lived assets as of April 2, 2005 and April 3, 2004 by geographic location of the reporting subsidiary,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92"/>
              </w:rPr>
              <w:t>Fiscal Year Ended</w:t>
            </w: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4"/>
                <w:szCs w:val="14"/>
                <w:b w:val="1"/>
                <w:bCs w:val="1"/>
                <w:color w:val="auto"/>
              </w:rPr>
              <w:t>April 2,</w:t>
            </w:r>
          </w:p>
        </w:tc>
        <w:tc>
          <w:tcPr>
            <w:tcW w:w="240" w:type="dxa"/>
            <w:vAlign w:val="bottom"/>
          </w:tcPr>
          <w:p>
            <w:pPr>
              <w:spacing w:after="0"/>
              <w:rPr>
                <w:sz w:val="11"/>
                <w:szCs w:val="11"/>
                <w:color w:val="auto"/>
              </w:rPr>
            </w:pPr>
          </w:p>
        </w:tc>
        <w:tc>
          <w:tcPr>
            <w:tcW w:w="1360" w:type="dxa"/>
            <w:vAlign w:val="bottom"/>
            <w:gridSpan w:val="2"/>
          </w:tcPr>
          <w:p>
            <w:pPr>
              <w:jc w:val="center"/>
              <w:ind w:right="600"/>
              <w:spacing w:after="0" w:line="133" w:lineRule="exact"/>
              <w:rPr>
                <w:sz w:val="20"/>
                <w:szCs w:val="20"/>
                <w:color w:val="auto"/>
              </w:rPr>
            </w:pPr>
            <w:r>
              <w:rPr>
                <w:rFonts w:ascii="Arial" w:cs="Arial" w:eastAsia="Arial" w:hAnsi="Arial"/>
                <w:sz w:val="14"/>
                <w:szCs w:val="14"/>
                <w:b w:val="1"/>
                <w:bCs w:val="1"/>
                <w:color w:val="auto"/>
              </w:rPr>
              <w:t>April 3,</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right"/>
              <w:ind w:right="196"/>
              <w:spacing w:after="0" w:line="133" w:lineRule="exact"/>
              <w:rPr>
                <w:sz w:val="20"/>
                <w:szCs w:val="20"/>
                <w:color w:val="auto"/>
              </w:rPr>
            </w:pPr>
            <w:r>
              <w:rPr>
                <w:rFonts w:ascii="Arial" w:cs="Arial" w:eastAsia="Arial" w:hAnsi="Arial"/>
                <w:sz w:val="14"/>
                <w:szCs w:val="14"/>
                <w:b w:val="1"/>
                <w:bCs w:val="1"/>
                <w:color w:val="auto"/>
              </w:rPr>
              <w:t>March 29,</w:t>
            </w:r>
          </w:p>
        </w:tc>
        <w:tc>
          <w:tcPr>
            <w:tcW w:w="480" w:type="dxa"/>
            <w:vAlign w:val="bottom"/>
          </w:tcPr>
          <w:p>
            <w:pPr>
              <w:spacing w:after="0"/>
              <w:rPr>
                <w:sz w:val="11"/>
                <w:szCs w:val="11"/>
                <w:color w:val="auto"/>
              </w:rPr>
            </w:pPr>
          </w:p>
        </w:tc>
      </w:tr>
      <w:tr>
        <w:trPr>
          <w:trHeight w:val="178"/>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2005</w:t>
            </w:r>
          </w:p>
        </w:tc>
        <w:tc>
          <w:tcPr>
            <w:tcW w:w="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2004</w:t>
            </w: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60"/>
              <w:spacing w:after="0"/>
              <w:rPr>
                <w:sz w:val="20"/>
                <w:szCs w:val="20"/>
                <w:color w:val="auto"/>
              </w:rPr>
            </w:pPr>
            <w:r>
              <w:rPr>
                <w:rFonts w:ascii="Arial" w:cs="Arial" w:eastAsia="Arial" w:hAnsi="Arial"/>
                <w:sz w:val="18"/>
                <w:szCs w:val="18"/>
                <w:color w:val="auto"/>
              </w:rPr>
              <w:t>United States and Canada</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2,587,233</w:t>
            </w:r>
          </w:p>
        </w:tc>
        <w:tc>
          <w:tcPr>
            <w:tcW w:w="740" w:type="dxa"/>
            <w:vAlign w:val="bottom"/>
          </w:tcPr>
          <w:p>
            <w:pPr>
              <w:spacing w:after="0"/>
              <w:rPr>
                <w:sz w:val="18"/>
                <w:szCs w:val="18"/>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2,073,401</w:t>
            </w:r>
          </w:p>
        </w:tc>
        <w:tc>
          <w:tcPr>
            <w:tcW w:w="3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1,916,096</w:t>
            </w:r>
          </w:p>
        </w:tc>
        <w:tc>
          <w:tcPr>
            <w:tcW w:w="4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Europe</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579,161</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464,098</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458,627</w:t>
            </w:r>
          </w:p>
        </w:tc>
      </w:tr>
      <w:tr>
        <w:trPr>
          <w:trHeight w:val="216"/>
        </w:trPr>
        <w:tc>
          <w:tcPr>
            <w:tcW w:w="20" w:type="dxa"/>
            <w:vAlign w:val="bottom"/>
          </w:tcPr>
          <w:p>
            <w:pPr>
              <w:spacing w:after="0"/>
              <w:rPr>
                <w:sz w:val="18"/>
                <w:szCs w:val="18"/>
                <w:color w:val="auto"/>
              </w:rPr>
            </w:pPr>
          </w:p>
        </w:tc>
        <w:tc>
          <w:tcPr>
            <w:tcW w:w="5760" w:type="dxa"/>
            <w:vAlign w:val="bottom"/>
          </w:tcPr>
          <w:p>
            <w:pPr>
              <w:ind w:left="260"/>
              <w:spacing w:after="0"/>
              <w:rPr>
                <w:sz w:val="20"/>
                <w:szCs w:val="20"/>
                <w:color w:val="auto"/>
              </w:rPr>
            </w:pPr>
            <w:r>
              <w:rPr>
                <w:rFonts w:ascii="Arial" w:cs="Arial" w:eastAsia="Arial" w:hAnsi="Arial"/>
                <w:sz w:val="18"/>
                <w:szCs w:val="18"/>
                <w:color w:val="auto"/>
              </w:rPr>
              <w:t>Other regions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139,021</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112,155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64,617</w:t>
            </w:r>
          </w:p>
        </w:tc>
      </w:tr>
      <w:tr>
        <w:trPr>
          <w:trHeight w:val="27"/>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3,305,415</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2,649,654</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2,439,340</w:t>
            </w:r>
          </w:p>
        </w:tc>
        <w:tc>
          <w:tcPr>
            <w:tcW w:w="480" w:type="dxa"/>
            <w:vAlign w:val="bottom"/>
            <w:shd w:val="clear" w:color="auto" w:fill="CCEEFF"/>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line="20" w:lineRule="exact"/>
        <w:rPr>
          <w:sz w:val="20"/>
          <w:szCs w:val="20"/>
          <w:color w:val="auto"/>
        </w:rPr>
      </w:pPr>
    </w:p>
    <w:p>
      <w:pPr>
        <w:jc w:val="center"/>
        <w:ind w:left="7240"/>
        <w:spacing w:after="0"/>
        <w:rPr>
          <w:sz w:val="20"/>
          <w:szCs w:val="20"/>
          <w:color w:val="auto"/>
        </w:rPr>
      </w:pPr>
      <w:r>
        <w:rPr>
          <w:rFonts w:ascii="Arial" w:cs="Arial" w:eastAsia="Arial" w:hAnsi="Arial"/>
          <w:sz w:val="13"/>
          <w:szCs w:val="13"/>
          <w:b w:val="1"/>
          <w:bCs w:val="1"/>
          <w:color w:val="auto"/>
        </w:rPr>
        <w:t>April 2,</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2005</w:t>
      </w:r>
    </w:p>
    <w:p>
      <w:pPr>
        <w:spacing w:after="0" w:line="20" w:lineRule="exact"/>
        <w:rPr>
          <w:sz w:val="20"/>
          <w:szCs w:val="20"/>
          <w:color w:val="auto"/>
        </w:rPr>
      </w:pPr>
      <w:r>
        <w:rPr>
          <w:sz w:val="20"/>
          <w:szCs w:val="20"/>
          <w:color w:val="auto"/>
        </w:rPr>
        <w:br w:type="column"/>
      </w:r>
    </w:p>
    <w:p>
      <w:pPr>
        <w:jc w:val="center"/>
        <w:ind w:right="860"/>
        <w:spacing w:after="0"/>
        <w:rPr>
          <w:sz w:val="20"/>
          <w:szCs w:val="20"/>
          <w:color w:val="auto"/>
        </w:rPr>
      </w:pPr>
      <w:r>
        <w:rPr>
          <w:rFonts w:ascii="Arial" w:cs="Arial" w:eastAsia="Arial" w:hAnsi="Arial"/>
          <w:sz w:val="13"/>
          <w:szCs w:val="13"/>
          <w:b w:val="1"/>
          <w:bCs w:val="1"/>
          <w:color w:val="auto"/>
        </w:rPr>
        <w:t>April 3,</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4"/>
          <w:szCs w:val="14"/>
          <w:b w:val="1"/>
          <w:bCs w:val="1"/>
          <w:color w:val="auto"/>
        </w:rPr>
        <w:t>2004</w:t>
      </w:r>
    </w:p>
    <w:p>
      <w:pPr>
        <w:spacing w:after="0" w:line="1" w:lineRule="exact"/>
        <w:rPr>
          <w:sz w:val="20"/>
          <w:szCs w:val="20"/>
          <w:color w:val="auto"/>
        </w:rPr>
      </w:pPr>
    </w:p>
    <w:p>
      <w:pPr>
        <w:sectPr>
          <w:pgSz w:w="11900" w:h="16838" w:orient="portrait"/>
          <w:cols w:equalWidth="0" w:num="2">
            <w:col w:w="9380" w:space="720"/>
            <w:col w:w="1320"/>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Long-lived assets:</w:t>
            </w:r>
          </w:p>
        </w:tc>
        <w:tc>
          <w:tcPr>
            <w:tcW w:w="5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CCEEFF"/>
              <w:left w:val="single" w:sz="8" w:color="CCEEFF"/>
              <w:right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60" w:type="dxa"/>
            <w:vAlign w:val="bottom"/>
          </w:tcPr>
          <w:p>
            <w:pPr>
              <w:ind w:left="40"/>
              <w:spacing w:after="0"/>
              <w:rPr>
                <w:sz w:val="20"/>
                <w:szCs w:val="20"/>
                <w:color w:val="auto"/>
              </w:rPr>
            </w:pPr>
            <w:r>
              <w:rPr>
                <w:rFonts w:ascii="Arial" w:cs="Arial" w:eastAsia="Arial" w:hAnsi="Arial"/>
                <w:sz w:val="18"/>
                <w:szCs w:val="18"/>
                <w:color w:val="auto"/>
              </w:rPr>
              <w:t>United States and Canada</w:t>
            </w:r>
          </w:p>
        </w:tc>
        <w:tc>
          <w:tcPr>
            <w:tcW w:w="8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402,665</w:t>
            </w:r>
          </w:p>
        </w:tc>
        <w:tc>
          <w:tcPr>
            <w:tcW w:w="8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335,885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80,663</w:t>
            </w:r>
          </w:p>
        </w:tc>
        <w:tc>
          <w:tcPr>
            <w:tcW w:w="88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69,507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60" w:type="dxa"/>
            <w:vAlign w:val="bottom"/>
          </w:tcPr>
          <w:p>
            <w:pPr>
              <w:ind w:left="40"/>
              <w:spacing w:after="0"/>
              <w:rPr>
                <w:sz w:val="20"/>
                <w:szCs w:val="20"/>
                <w:color w:val="auto"/>
              </w:rPr>
            </w:pPr>
            <w:r>
              <w:rPr>
                <w:rFonts w:ascii="Arial" w:cs="Arial" w:eastAsia="Arial" w:hAnsi="Arial"/>
                <w:sz w:val="18"/>
                <w:szCs w:val="18"/>
                <w:color w:val="auto"/>
              </w:rPr>
              <w:t>Other regions</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4,566</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3,349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487,894</w:t>
            </w:r>
          </w:p>
        </w:tc>
        <w:tc>
          <w:tcPr>
            <w:tcW w:w="88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408,741</w:t>
            </w:r>
          </w:p>
        </w:tc>
        <w:tc>
          <w:tcPr>
            <w:tcW w:w="0" w:type="dxa"/>
            <w:vAlign w:val="bottom"/>
          </w:tcPr>
          <w:p>
            <w:pPr>
              <w:spacing w:after="0"/>
              <w:rPr>
                <w:sz w:val="1"/>
                <w:szCs w:val="1"/>
                <w:color w:val="auto"/>
              </w:rPr>
            </w:pPr>
          </w:p>
        </w:tc>
      </w:tr>
      <w:tr>
        <w:trPr>
          <w:trHeight w:val="21"/>
        </w:trPr>
        <w:tc>
          <w:tcPr>
            <w:tcW w:w="2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5"/>
              </w:rPr>
              <w:t>20.</w:t>
            </w:r>
          </w:p>
        </w:tc>
        <w:tc>
          <w:tcPr>
            <w:tcW w:w="686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Accumulated Other Comprehensive Income</w:t>
            </w:r>
          </w:p>
        </w:tc>
        <w:tc>
          <w:tcPr>
            <w:tcW w:w="5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60" w:type="dxa"/>
            <w:vAlign w:val="bottom"/>
            <w:gridSpan w:val="2"/>
            <w:vMerge w:val="continue"/>
          </w:tcPr>
          <w:p>
            <w:pPr>
              <w:spacing w:after="0"/>
              <w:rPr>
                <w:sz w:val="24"/>
                <w:szCs w:val="24"/>
                <w:color w:val="auto"/>
              </w:rPr>
            </w:pPr>
          </w:p>
        </w:tc>
        <w:tc>
          <w:tcPr>
            <w:tcW w:w="68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9"/>
              </w:rPr>
              <w:t>Accumulated other comprehensive income is comprised of the effects of the following:</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rPr>
              <w:t>April 2,</w:t>
            </w:r>
          </w:p>
        </w:tc>
        <w:tc>
          <w:tcPr>
            <w:tcW w:w="200" w:type="dxa"/>
            <w:vAlign w:val="bottom"/>
          </w:tcPr>
          <w:p>
            <w:pPr>
              <w:spacing w:after="0"/>
              <w:rPr>
                <w:sz w:val="21"/>
                <w:szCs w:val="21"/>
                <w:color w:val="auto"/>
              </w:rPr>
            </w:pPr>
          </w:p>
        </w:tc>
        <w:tc>
          <w:tcPr>
            <w:tcW w:w="14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2005</w:t>
            </w:r>
          </w:p>
        </w:tc>
        <w:tc>
          <w:tcPr>
            <w:tcW w:w="8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8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Borders>
              <w:right w:val="single" w:sz="8" w:color="CCEEFF"/>
            </w:tcBorders>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85,104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73,782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Unrealized losses on hedging derivatives</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800"/>
              <w:spacing w:after="0"/>
              <w:rPr>
                <w:sz w:val="20"/>
                <w:szCs w:val="20"/>
                <w:color w:val="auto"/>
              </w:rPr>
            </w:pPr>
            <w:r>
              <w:rPr>
                <w:rFonts w:ascii="Arial" w:cs="Arial" w:eastAsia="Arial" w:hAnsi="Arial"/>
                <w:sz w:val="18"/>
                <w:szCs w:val="18"/>
                <w:color w:val="auto"/>
              </w:rPr>
              <w:t>(55,131)</w:t>
            </w:r>
          </w:p>
        </w:tc>
        <w:tc>
          <w:tcPr>
            <w:tcW w:w="20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(50,678)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6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80" w:type="dxa"/>
            <w:vAlign w:val="bottom"/>
            <w:tcBorders>
              <w:lef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 net of tax</w:t>
            </w:r>
          </w:p>
        </w:tc>
        <w:tc>
          <w:tcPr>
            <w:tcW w:w="6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Borders>
              <w:right w:val="single" w:sz="8" w:color="CCEEFF"/>
            </w:tcBorders>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29,973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23,104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right="40" w:firstLine="267"/>
        <w:spacing w:after="0" w:line="259" w:lineRule="auto"/>
        <w:rPr>
          <w:sz w:val="20"/>
          <w:szCs w:val="20"/>
          <w:color w:val="auto"/>
        </w:rPr>
      </w:pPr>
      <w:r>
        <w:rPr>
          <w:rFonts w:ascii="Arial" w:cs="Arial" w:eastAsia="Arial" w:hAnsi="Arial"/>
          <w:sz w:val="18"/>
          <w:szCs w:val="18"/>
          <w:color w:val="auto"/>
        </w:rPr>
        <w:t>The income tax effect related to foreign currency translation adjustments and unrealized gains and losses on cash flow and foreign currency hedges, was a charge of $8.7 million and a benefit of $6.6 million in the year ended April 2, 2005, respectively. The income tax effect related to foreign currency translation adjustments and unrealized gains and losses on cash flow and foreign currency hedges was a charge of $1.8 million and a benefit of $15.7 million for the year ended April 3, 2004, respectively.</w:t>
      </w:r>
    </w:p>
    <w:p>
      <w:pPr>
        <w:spacing w:after="0" w:line="79" w:lineRule="exact"/>
        <w:rPr>
          <w:sz w:val="20"/>
          <w:szCs w:val="20"/>
          <w:color w:val="auto"/>
        </w:rPr>
      </w:pPr>
    </w:p>
    <w:p>
      <w:pPr>
        <w:ind w:right="40" w:firstLine="267"/>
        <w:spacing w:after="0" w:line="271" w:lineRule="auto"/>
        <w:rPr>
          <w:sz w:val="20"/>
          <w:szCs w:val="20"/>
          <w:color w:val="auto"/>
        </w:rPr>
      </w:pPr>
      <w:r>
        <w:rPr>
          <w:rFonts w:ascii="Arial" w:cs="Arial" w:eastAsia="Arial" w:hAnsi="Arial"/>
          <w:sz w:val="17"/>
          <w:szCs w:val="17"/>
          <w:color w:val="auto"/>
        </w:rPr>
        <w:t>The Company has several hedges in place at April 2, 2005 primarily relating to inventory purchases, royalty payments and net investment in foreign subsidiaries. All of the hedges are considered highly effective and as a result the entire change in the fair market value of each hedge is recorded in unrealized gains and losses on hedging derivatives, a component of accumulated other comprehensive income, until the hedged transaction is realized in results of operations, which is generally, when inventory purchases are made or royalty payments are remitted to the U.S. The unrealized gains and losses on the net investment in foreign subsidiaries will be realized in results of operations when the bonds providing the hedge are repaid or the investment is liquidated. The Eurobonds mature in November 2006, while the forward contracts extend through March 2006 for inventory purchases and February 2008 for the royalty payments. As of April 2, 2005, the amount of unrealized gain (loss) on the forward contracts which is expected to be realized in pretax results of operations during Fiscal 2006 is a gain of $1.9 million and a loss of $4.7 million attributable to inventory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purchases and royalty payments, respectively, The following table details the changes in the unrealized losses on hedging derivatives for the year ended April 2, 2005.</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Unrealized losses on hedging derivatives are comprised of the following (dollars in millions):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9"/>
              </w:rPr>
              <w:t>Unrealized Losses</w:t>
            </w:r>
          </w:p>
        </w:tc>
        <w:tc>
          <w:tcPr>
            <w:tcW w:w="15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3"/>
              </w:rPr>
              <w:t>Changes in Fair</w:t>
            </w:r>
          </w:p>
        </w:tc>
        <w:tc>
          <w:tcPr>
            <w:tcW w:w="380" w:type="dxa"/>
            <w:vAlign w:val="bottom"/>
          </w:tcPr>
          <w:p>
            <w:pPr>
              <w:spacing w:after="0"/>
              <w:rPr>
                <w:sz w:val="14"/>
                <w:szCs w:val="14"/>
                <w:color w:val="auto"/>
              </w:rPr>
            </w:pPr>
          </w:p>
        </w:tc>
        <w:tc>
          <w:tcPr>
            <w:tcW w:w="212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89"/>
              </w:rPr>
              <w:t>Unrealized Losses</w:t>
            </w:r>
          </w:p>
        </w:tc>
        <w:tc>
          <w:tcPr>
            <w:tcW w:w="100" w:type="dxa"/>
            <w:vAlign w:val="bottom"/>
          </w:tcPr>
          <w:p>
            <w:pPr>
              <w:spacing w:after="0"/>
              <w:rPr>
                <w:sz w:val="14"/>
                <w:szCs w:val="14"/>
                <w:color w:val="auto"/>
              </w:rPr>
            </w:pPr>
          </w:p>
        </w:tc>
        <w:tc>
          <w:tcPr>
            <w:tcW w:w="20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3"/>
              </w:rPr>
              <w:t>Unrealized Gains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90"/>
              </w:rPr>
              <w:t>on Hedging</w:t>
            </w: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Value During the</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9"/>
              </w:rPr>
              <w:t>on Hedges</w:t>
            </w:r>
          </w:p>
        </w:tc>
        <w:tc>
          <w:tcPr>
            <w:tcW w:w="100" w:type="dxa"/>
            <w:vAlign w:val="bottom"/>
          </w:tcPr>
          <w:p>
            <w:pPr>
              <w:spacing w:after="0"/>
              <w:rPr>
                <w:sz w:val="12"/>
                <w:szCs w:val="12"/>
                <w:color w:val="auto"/>
              </w:rPr>
            </w:pPr>
          </w:p>
        </w:tc>
        <w:tc>
          <w:tcPr>
            <w:tcW w:w="20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(Losses) on Hedging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91"/>
              </w:rPr>
              <w:t>Derivatives as of</w:t>
            </w:r>
          </w:p>
        </w:tc>
        <w:tc>
          <w:tcPr>
            <w:tcW w:w="100" w:type="dxa"/>
            <w:vAlign w:val="bottom"/>
          </w:tcPr>
          <w:p>
            <w:pPr>
              <w:spacing w:after="0"/>
              <w:rPr>
                <w:sz w:val="12"/>
                <w:szCs w:val="12"/>
                <w:color w:val="auto"/>
              </w:rPr>
            </w:pP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Year Ended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9"/>
              </w:rPr>
              <w:t>Reclassified into</w:t>
            </w:r>
          </w:p>
        </w:tc>
        <w:tc>
          <w:tcPr>
            <w:tcW w:w="100" w:type="dxa"/>
            <w:vAlign w:val="bottom"/>
          </w:tcPr>
          <w:p>
            <w:pPr>
              <w:spacing w:after="0"/>
              <w:rPr>
                <w:sz w:val="12"/>
                <w:szCs w:val="12"/>
                <w:color w:val="auto"/>
              </w:rPr>
            </w:pPr>
          </w:p>
        </w:tc>
        <w:tc>
          <w:tcPr>
            <w:tcW w:w="20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1"/>
              </w:rPr>
              <w:t>Derivatives as of</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4"/>
              </w:rPr>
              <w:t>April 3, 2004</w:t>
            </w:r>
          </w:p>
        </w:tc>
        <w:tc>
          <w:tcPr>
            <w:tcW w:w="100" w:type="dxa"/>
            <w:vAlign w:val="bottom"/>
          </w:tcPr>
          <w:p>
            <w:pPr>
              <w:spacing w:after="0"/>
              <w:rPr>
                <w:sz w:val="15"/>
                <w:szCs w:val="15"/>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April 2, 2005</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5"/>
                <w:szCs w:val="15"/>
                <w:color w:val="auto"/>
              </w:rPr>
            </w:pPr>
          </w:p>
        </w:tc>
        <w:tc>
          <w:tcPr>
            <w:tcW w:w="20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April 2, 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Derivatives designated as hedges of:</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Inventory purchases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160" w:type="dxa"/>
            <w:vAlign w:val="bottom"/>
            <w:gridSpan w:val="2"/>
          </w:tcPr>
          <w:p>
            <w:pPr>
              <w:jc w:val="right"/>
              <w:ind w:right="86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4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920"/>
              <w:spacing w:after="0"/>
              <w:rPr>
                <w:sz w:val="20"/>
                <w:szCs w:val="20"/>
                <w:color w:val="auto"/>
              </w:rPr>
            </w:pPr>
            <w:r>
              <w:rPr>
                <w:rFonts w:ascii="Arial" w:cs="Arial" w:eastAsia="Arial" w:hAnsi="Arial"/>
                <w:sz w:val="18"/>
                <w:szCs w:val="18"/>
                <w:color w:val="auto"/>
              </w:rPr>
              <w:t>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Intercompany royalty payments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ind w:left="240"/>
              <w:spacing w:after="0" w:line="201" w:lineRule="exact"/>
              <w:rPr>
                <w:sz w:val="20"/>
                <w:szCs w:val="20"/>
                <w:color w:val="auto"/>
              </w:rPr>
            </w:pPr>
            <w:r>
              <w:rPr>
                <w:rFonts w:ascii="Arial" w:cs="Arial" w:eastAsia="Arial" w:hAnsi="Arial"/>
                <w:sz w:val="18"/>
                <w:szCs w:val="18"/>
                <w:color w:val="auto"/>
              </w:rPr>
              <w:t>Net investment in foreign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tcPr>
          <w:p>
            <w:pPr>
              <w:ind w:left="380"/>
              <w:spacing w:after="0"/>
              <w:rPr>
                <w:sz w:val="20"/>
                <w:szCs w:val="20"/>
                <w:color w:val="auto"/>
              </w:rPr>
            </w:pPr>
            <w:r>
              <w:rPr>
                <w:rFonts w:ascii="Arial" w:cs="Arial" w:eastAsia="Arial" w:hAnsi="Arial"/>
                <w:sz w:val="18"/>
                <w:szCs w:val="18"/>
                <w:color w:val="auto"/>
              </w:rPr>
              <w:t>subsidiaries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gridSpan w:val="2"/>
          </w:tcPr>
          <w:p>
            <w:pPr>
              <w:jc w:val="right"/>
              <w:ind w:right="86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0"/>
                <w:szCs w:val="20"/>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(17.2)</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0" w:type="dxa"/>
            <w:vAlign w:val="bottom"/>
            <w:gridSpan w:val="2"/>
          </w:tcPr>
          <w:p>
            <w:pPr>
              <w:jc w:val="right"/>
              <w:ind w:right="58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Before-tax totals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40" w:type="dxa"/>
            <w:vAlign w:val="bottom"/>
            <w:vMerge w:val="restart"/>
          </w:tcPr>
          <w:p>
            <w:pPr>
              <w:ind w:left="520"/>
              <w:spacing w:after="0"/>
              <w:rPr>
                <w:sz w:val="20"/>
                <w:szCs w:val="20"/>
                <w:color w:val="auto"/>
              </w:rPr>
            </w:pPr>
            <w:r>
              <w:rPr>
                <w:rFonts w:ascii="Arial" w:cs="Arial" w:eastAsia="Arial" w:hAnsi="Arial"/>
                <w:sz w:val="18"/>
                <w:szCs w:val="18"/>
                <w:color w:val="auto"/>
              </w:rPr>
              <w:t>After-tax totals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9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9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80" w:hanging="572"/>
        <w:spacing w:after="0"/>
        <w:tabs>
          <w:tab w:leader="none" w:pos="5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140" w:firstLine="260"/>
        <w:spacing w:after="0" w:line="297" w:lineRule="auto"/>
        <w:rPr>
          <w:sz w:val="20"/>
          <w:szCs w:val="20"/>
          <w:color w:val="auto"/>
        </w:rPr>
      </w:pPr>
      <w:r>
        <w:rPr>
          <w:rFonts w:ascii="Arial" w:cs="Arial" w:eastAsia="Arial" w:hAnsi="Arial"/>
          <w:sz w:val="16"/>
          <w:szCs w:val="16"/>
          <w:color w:val="auto"/>
        </w:rPr>
        <w:t>As a result of the failure of Jones Apparel Group, Inc. (including its subsidiaries, “Jones”) to meet the minimum sales volumes for the year ended December 31, 2002 under the license agreements for the sale of products under the “Ralph” trademark between us and Jones dated May 11, 1998, these license agreements terminated as of December 31, 2003. We advised Jones that the termination of these license agreements would automatically result in the termination of the license agreements between us and Jones with respect to the “Lauren” trademark pursuant to the Cross Default and Term Extension Agreement between us and Jones dated May 11, 1998. The terms of the Lauren license agreements would otherwise have expired on December 31, 2006.</w:t>
      </w:r>
    </w:p>
    <w:p>
      <w:pPr>
        <w:spacing w:after="0" w:line="50" w:lineRule="exact"/>
        <w:rPr>
          <w:sz w:val="20"/>
          <w:szCs w:val="20"/>
          <w:color w:val="auto"/>
        </w:rPr>
      </w:pPr>
    </w:p>
    <w:p>
      <w:pPr>
        <w:ind w:right="20" w:firstLine="270"/>
        <w:spacing w:after="0" w:line="291" w:lineRule="auto"/>
        <w:rPr>
          <w:sz w:val="20"/>
          <w:szCs w:val="20"/>
          <w:color w:val="auto"/>
        </w:rPr>
      </w:pPr>
      <w:r>
        <w:rPr>
          <w:rFonts w:ascii="Arial" w:cs="Arial" w:eastAsia="Arial" w:hAnsi="Arial"/>
          <w:sz w:val="16"/>
          <w:szCs w:val="16"/>
          <w:color w:val="auto"/>
        </w:rPr>
        <w:t>On June 3, 2003, Jones filed a lawsuit against us in the Supreme Court of the State of New York alleging, among other things, that we had breached the Lauren license agreements by asserting our rights pursuant to the Cross Default and Term Extension Agreement, and that we induced Ms. Jackwyn Nemerov, the former President of Jones, to breach the non-compete and confidentiality clauses in Ms. Nemerov’s employment agreement with Jones. Jones stated that it would treat the Lauren license agreements as terminated as of December 31, 2003, and is seeking compensatory damages of $550.0 million, punitive damages and enforcement of Ms. Nemerov’s agreement. Also on June 3, 2003, we filed a lawsuit against Jones in the Supreme Court of the State of New York seeking, among other things, an injunction and a declaratory judgement that the Lauren license agreements would terminate as of December 31, 2003 pursuant to the terms of the Cross Default and Term Extension Agreement. The two lawsuits were consolidated.</w:t>
      </w:r>
    </w:p>
    <w:p>
      <w:pPr>
        <w:spacing w:after="0" w:line="59" w:lineRule="exact"/>
        <w:rPr>
          <w:sz w:val="20"/>
          <w:szCs w:val="20"/>
          <w:color w:val="auto"/>
        </w:rPr>
      </w:pPr>
    </w:p>
    <w:p>
      <w:pPr>
        <w:ind w:right="40" w:firstLine="270"/>
        <w:spacing w:after="0" w:line="291" w:lineRule="auto"/>
        <w:rPr>
          <w:sz w:val="20"/>
          <w:szCs w:val="20"/>
          <w:color w:val="auto"/>
        </w:rPr>
      </w:pPr>
      <w:r>
        <w:rPr>
          <w:rFonts w:ascii="Arial" w:cs="Arial" w:eastAsia="Arial" w:hAnsi="Arial"/>
          <w:sz w:val="16"/>
          <w:szCs w:val="16"/>
          <w:color w:val="auto"/>
        </w:rPr>
        <w:t>On July 3, 2003, we filed a motion to dismiss Jones’ claims regarding breach of the “Lauren” agreements and a motion to stay the claims regarding Ms. Nemerov pending the arbitration of Jones’ dispute with Ms. Nemerov. On July 23, 2003, Jones filed a motion for summary judgement in our action against Jones, and on August 12, 2003, we filed a cross-motion for summary judgement. Oral argument on the motions was heard on September 30, 2003. On March 18, 2004, the Court entered orders (i) denying our motion to dismiss Jones’ claims against us for breach of the Lauren agreements and (ii) granting Jones’ motion for summary judgement in our action for declaratory judgement that the Lauren agreements terminated on December 31, 2003 and dismissing our complaint. The order also stayed Jones’ claim against us relating to Ms. Nemerov pending arbitration regarding her alleged breach of her employment agreement. On August 24, 2004, the Court denied our motion to reconsider its orders, and on October 4, 2004, we filed our appeal of the orders.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20" w:firstLine="270"/>
        <w:spacing w:after="0" w:line="293" w:lineRule="auto"/>
        <w:rPr>
          <w:sz w:val="20"/>
          <w:szCs w:val="20"/>
          <w:color w:val="auto"/>
        </w:rPr>
      </w:pPr>
      <w:r>
        <w:rPr>
          <w:rFonts w:ascii="Arial" w:cs="Arial" w:eastAsia="Arial" w:hAnsi="Arial"/>
          <w:sz w:val="16"/>
          <w:szCs w:val="16"/>
          <w:color w:val="auto"/>
        </w:rPr>
        <w:t>On March 24, 2005, the Appellate Division of the Supreme Court affirmed the lower court’s orders. On April 22, 2005, we filed a motion with the Appellate Division for reargument and/or permission to appeal its decision to the New York Court of Appeals. On June 23, 2005, the Appellate Division denied our request for reargument but granted our motion for leave to appeal to the Court of Appeals. If the Court of Appeals does not reverse the Appellate Division’s decision, the case would go back to the lower court for a trial on damages. Although we intend to continue to defend the case vigorously, in light of the Appellate Division’s decision we recorded a litigation charge of $100.0 million during Fiscal 2005. This charge represents management’s best estimate at this time of the loss incurred to date. No discovery has been held and the ultimate outcome of this matter could differ materially from the reserved amount.</w:t>
      </w:r>
    </w:p>
    <w:p>
      <w:pPr>
        <w:spacing w:after="0" w:line="57" w:lineRule="exact"/>
        <w:rPr>
          <w:sz w:val="20"/>
          <w:szCs w:val="20"/>
          <w:color w:val="auto"/>
        </w:rPr>
      </w:pPr>
    </w:p>
    <w:p>
      <w:pPr>
        <w:ind w:right="120" w:firstLine="267"/>
        <w:spacing w:after="0" w:line="257" w:lineRule="auto"/>
        <w:rPr>
          <w:sz w:val="20"/>
          <w:szCs w:val="20"/>
          <w:color w:val="auto"/>
        </w:rPr>
      </w:pPr>
      <w:r>
        <w:rPr>
          <w:rFonts w:ascii="Arial" w:cs="Arial" w:eastAsia="Arial" w:hAnsi="Arial"/>
          <w:sz w:val="18"/>
          <w:szCs w:val="18"/>
          <w:color w:val="auto"/>
        </w:rPr>
        <w:t>We are subject to various claims relating to allegations of a security breach of our retail point of sale system, including fraudulent credit card charges, the cost of replacing cards and related monitoring expenses and other related claims. The Company is unable to predict whether further claims will be asserted. The Company has contested and will continue to vigorously contest the claims made against it and continues to explore its defenses and possible claims against others. The Company recorded a reserve of $6.2 million representing management’s best estimate of the loss incurred in the fourth quarter of Fiscal 2005 relating to this matter.</w:t>
      </w:r>
    </w:p>
    <w:p>
      <w:pPr>
        <w:spacing w:after="0" w:line="80" w:lineRule="exact"/>
        <w:rPr>
          <w:sz w:val="20"/>
          <w:szCs w:val="20"/>
          <w:color w:val="auto"/>
        </w:rPr>
      </w:pPr>
    </w:p>
    <w:p>
      <w:pPr>
        <w:ind w:right="60" w:firstLine="267"/>
        <w:spacing w:after="0" w:line="277" w:lineRule="auto"/>
        <w:rPr>
          <w:sz w:val="20"/>
          <w:szCs w:val="20"/>
          <w:color w:val="auto"/>
        </w:rPr>
      </w:pPr>
      <w:r>
        <w:rPr>
          <w:rFonts w:ascii="Arial" w:cs="Arial" w:eastAsia="Arial" w:hAnsi="Arial"/>
          <w:sz w:val="18"/>
          <w:szCs w:val="18"/>
          <w:color w:val="auto"/>
        </w:rPr>
        <w:t>The ultimate outcome of these matters could differ from the amounts recorded and could be material to the results of operations for any affected reporting period. Management does not expect the resolution of these matters to have a material impact on the Company’s liquidity.</w:t>
      </w:r>
    </w:p>
    <w:p>
      <w:pPr>
        <w:spacing w:after="0" w:line="62" w:lineRule="exact"/>
        <w:rPr>
          <w:sz w:val="20"/>
          <w:szCs w:val="20"/>
          <w:color w:val="auto"/>
        </w:rPr>
      </w:pPr>
    </w:p>
    <w:p>
      <w:pPr>
        <w:ind w:firstLine="270"/>
        <w:spacing w:after="0" w:line="270" w:lineRule="auto"/>
        <w:rPr>
          <w:sz w:val="20"/>
          <w:szCs w:val="20"/>
          <w:color w:val="auto"/>
        </w:rPr>
      </w:pPr>
      <w:r>
        <w:rPr>
          <w:rFonts w:ascii="Arial" w:cs="Arial" w:eastAsia="Arial" w:hAnsi="Arial"/>
          <w:sz w:val="17"/>
          <w:szCs w:val="17"/>
          <w:color w:val="auto"/>
        </w:rPr>
        <w:t>On September 18, 2002, an employee at one of the Company’s stores filed a lawsuit against us and our Polo Retail, LLC subsidiary in the United States District Court for the District of Northern California alleging violations of California antitrust and labor laws. The plaintiff purports to represent a class of employees who have allegedly been injured by a requirement that certain retail employees purchase and wear Company apparel as a condition of their employment. The complaint, as amended, seeks an unspecified amount of actual and punitive damages, disgorgement of profits and injunctive and declaratory relief. The Company answered the amended complaint on November 4, 2002. A hearing on cross motions for summary judgement on the issue of whether the Company’s policies violated California law took place on August 14, 2003. The Court granted partial summary judgement with respect to certain of the plaintiff’s claims, but concluded that more discovery was necessary before it could decide the key issue as to whether the Company had maintained for a period of time a dress code policy that violated California law. The parties are engaged in settlement discussion, and we have recorded a liability for our best estimate of the settlement cost, which is not material.</w:t>
      </w:r>
    </w:p>
    <w:p>
      <w:pPr>
        <w:spacing w:after="0" w:line="74" w:lineRule="exact"/>
        <w:rPr>
          <w:sz w:val="20"/>
          <w:szCs w:val="20"/>
          <w:color w:val="auto"/>
        </w:rPr>
      </w:pPr>
    </w:p>
    <w:p>
      <w:pPr>
        <w:ind w:right="140" w:firstLine="270"/>
        <w:spacing w:after="0" w:line="255" w:lineRule="auto"/>
        <w:rPr>
          <w:sz w:val="20"/>
          <w:szCs w:val="20"/>
          <w:color w:val="auto"/>
        </w:rPr>
      </w:pPr>
      <w:r>
        <w:rPr>
          <w:rFonts w:ascii="Arial" w:cs="Arial" w:eastAsia="Arial" w:hAnsi="Arial"/>
          <w:sz w:val="18"/>
          <w:szCs w:val="18"/>
          <w:color w:val="auto"/>
        </w:rPr>
        <w:t>On April 14, 2003, a second putative class action was filed in the San Francisco Superior Court. This suit, brought by the same attorneys, alleges near identical claims to these in the federal class action. The class representatives consist of former employees and the plaintiff in the federal court action. Defendants in this class action include us and our Polo Retail, LLC, Fashions Outlet of America, Inc., Polo Retail, Inc. and San Francisco Polo, Ltd. subsidiaries as well as a non-affiliated corporate defendant and two current managers. As in the federal action, the complaint seeks an unspecified amount of action and punitive restitution of monies spent, and declaratory relief. The state court class action has been stayed pending resolution of the federal class action.</w:t>
      </w:r>
    </w:p>
    <w:p>
      <w:pPr>
        <w:spacing w:after="0" w:line="85" w:lineRule="exact"/>
        <w:rPr>
          <w:sz w:val="20"/>
          <w:szCs w:val="20"/>
          <w:color w:val="auto"/>
        </w:rPr>
      </w:pPr>
    </w:p>
    <w:p>
      <w:pPr>
        <w:ind w:right="40" w:firstLine="270"/>
        <w:spacing w:after="0" w:line="276" w:lineRule="auto"/>
        <w:rPr>
          <w:sz w:val="20"/>
          <w:szCs w:val="20"/>
          <w:color w:val="auto"/>
        </w:rPr>
      </w:pPr>
      <w:r>
        <w:rPr>
          <w:rFonts w:ascii="Arial" w:cs="Arial" w:eastAsia="Arial" w:hAnsi="Arial"/>
          <w:sz w:val="17"/>
          <w:szCs w:val="17"/>
          <w:color w:val="auto"/>
        </w:rPr>
        <w:t>On October 1, 1999, we filed a lawsuit against the United States Polo Association Inc., Jordache, Ltd. and certain other entities affiliated with them, alleging that the defendants were infringing on our famous trademarks. In connection with this lawsuit, on July 19, 2001, the United States Polo Association and Jordache filed a lawsuit against us in the United States District Court for the Southern District of New York. This suit, which is effectively a counterclaim by them in connection with the original trademark action, asserts claims related to our actions in connection with our pursuit of claims against the United States Polo Association and Jordache for trademark infringement and other unlawful conduct. Their claims stem from our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contacts with the United States Polo Association’s and Jordache’s retailers in which we informed these retailers of our position in the original trademark action. All claims and counterclaims have now been settled, except for the Company’s claims that the defendants violated the Company’s trademark rights. We did not pay any damages in this settlement. On July 30, 2004, the Court denied all motions for summary judgement and set a trial date for October 3, 2005.</w:t>
      </w:r>
    </w:p>
    <w:p>
      <w:pPr>
        <w:spacing w:after="0" w:line="79" w:lineRule="exact"/>
        <w:rPr>
          <w:sz w:val="20"/>
          <w:szCs w:val="20"/>
          <w:color w:val="auto"/>
        </w:rPr>
      </w:pPr>
    </w:p>
    <w:p>
      <w:pPr>
        <w:ind w:right="80" w:firstLine="270"/>
        <w:spacing w:after="0" w:line="255" w:lineRule="auto"/>
        <w:rPr>
          <w:sz w:val="20"/>
          <w:szCs w:val="20"/>
          <w:color w:val="auto"/>
        </w:rPr>
      </w:pPr>
      <w:r>
        <w:rPr>
          <w:rFonts w:ascii="Arial" w:cs="Arial" w:eastAsia="Arial" w:hAnsi="Arial"/>
          <w:sz w:val="18"/>
          <w:szCs w:val="18"/>
          <w:color w:val="auto"/>
        </w:rPr>
        <w:t>On December 5, 2003, United States Polo Association, USPA Properties, Inc., Global Licensing Sverige and Atlas Design AB (collectively, “USPA”) filed a Demand for Arbitration against the Company in Sweden under the auspices of the International Centre for Dispute Resolution seeking a declaratory judgement that USPA’s so-called Horseman symbol does not infringe on Polo Ralph Lauren’s trademark and other rights. No claim for damages was stated. On February 19, 2004, we answered the Demand for Arbitration, contesting the arbitrability of USPA’s claim for declaratory relief. We also asserted our own counterclaim, seeking a judgement that the USPA’s Horseman symbol infringes on our trademark and other rights. We also sought injunctive relief and damages in an unspecified amount.</w:t>
      </w:r>
    </w:p>
    <w:p>
      <w:pPr>
        <w:spacing w:after="0" w:line="85" w:lineRule="exact"/>
        <w:rPr>
          <w:sz w:val="20"/>
          <w:szCs w:val="20"/>
          <w:color w:val="auto"/>
        </w:rPr>
      </w:pPr>
    </w:p>
    <w:p>
      <w:pPr>
        <w:ind w:right="60" w:firstLine="270"/>
        <w:spacing w:after="0" w:line="276" w:lineRule="auto"/>
        <w:rPr>
          <w:sz w:val="20"/>
          <w:szCs w:val="20"/>
          <w:color w:val="auto"/>
        </w:rPr>
      </w:pPr>
      <w:r>
        <w:rPr>
          <w:rFonts w:ascii="Arial" w:cs="Arial" w:eastAsia="Arial" w:hAnsi="Arial"/>
          <w:sz w:val="17"/>
          <w:szCs w:val="17"/>
          <w:color w:val="auto"/>
        </w:rPr>
        <w:t>On November 1, 2004, the arbitral panel of the International Centre for Dispute Resolution hearing the arbitration between us and the United States Polo Association, United States Polo Association Properties, Inc., Global Licensing Sverige and Atlas Design AB (collectively, “USPA”) in Sweden rendered a decision rejecting the relief sought by USPA and holding that their so-called Horseman symbol infringes on our trademark and other rights. The arbitral tribunal awarded us damages in excess of 3.5 million Swedish Krona, or $0.5 million, and ordered USPA to discontinue the sale of, and destroy all remaining stock of, clothing bearing its Horseman symbol in Sweden. This amount has not yet been recorded as income.</w:t>
      </w:r>
    </w:p>
    <w:p>
      <w:pPr>
        <w:spacing w:after="0" w:line="64" w:lineRule="exact"/>
        <w:rPr>
          <w:sz w:val="20"/>
          <w:szCs w:val="20"/>
          <w:color w:val="auto"/>
        </w:rPr>
      </w:pPr>
    </w:p>
    <w:p>
      <w:pPr>
        <w:ind w:right="20" w:firstLine="270"/>
        <w:spacing w:after="0" w:line="257" w:lineRule="auto"/>
        <w:rPr>
          <w:sz w:val="20"/>
          <w:szCs w:val="20"/>
          <w:color w:val="auto"/>
        </w:rPr>
      </w:pPr>
      <w:r>
        <w:rPr>
          <w:rFonts w:ascii="Arial" w:cs="Arial" w:eastAsia="Arial" w:hAnsi="Arial"/>
          <w:sz w:val="18"/>
          <w:szCs w:val="18"/>
          <w:color w:val="auto"/>
        </w:rPr>
        <w:t>On October 29, 2004, we filed a Demand for arbitration against the United States Polo Association and United States Polo Association Polo Properties, Inc. in the United Kingdom under the auspices of the International Centre for Dispute Resolution seeking a judgement that the Horseman symbol infringes on our trademark and other rights, as well as injunctive relief. Subsequently, the Unites States Polo Association and United States Polo Association Properties, Inc. agreed not to distribute products bearing the Horseman symbol in the United Kingdom or any other member nation of the European Community. Consequently, we withdrew our arbitration demand on December 7, 2004.</w:t>
      </w:r>
    </w:p>
    <w:p>
      <w:pPr>
        <w:spacing w:after="0" w:line="80" w:lineRule="exact"/>
        <w:rPr>
          <w:sz w:val="20"/>
          <w:szCs w:val="20"/>
          <w:color w:val="auto"/>
        </w:rPr>
      </w:pPr>
    </w:p>
    <w:p>
      <w:pPr>
        <w:jc w:val="both"/>
        <w:ind w:firstLine="267"/>
        <w:spacing w:after="0" w:line="264" w:lineRule="auto"/>
        <w:rPr>
          <w:sz w:val="20"/>
          <w:szCs w:val="20"/>
          <w:color w:val="auto"/>
        </w:rPr>
      </w:pPr>
      <w:r>
        <w:rPr>
          <w:rFonts w:ascii="Arial" w:cs="Arial" w:eastAsia="Arial" w:hAnsi="Arial"/>
          <w:sz w:val="18"/>
          <w:szCs w:val="18"/>
          <w:color w:val="auto"/>
        </w:rPr>
        <w:t>We are otherwise involved from time to time in legal claims involving trademark and intellectual property, licensing, employee relations and other matters incidental to our business. We believe that the resolution of these other matters currently pending will not individually or in aggregate have a material adverse effect on our financial condition or results of operations.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POLO RALPH LAUREN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580" w:hanging="572"/>
        <w:spacing w:after="0"/>
        <w:tabs>
          <w:tab w:leader="none" w:pos="5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Information (Unaudited)</w:t>
      </w:r>
    </w:p>
    <w:p>
      <w:pPr>
        <w:spacing w:after="0" w:line="121" w:lineRule="exact"/>
        <w:rPr>
          <w:sz w:val="20"/>
          <w:szCs w:val="20"/>
          <w:color w:val="auto"/>
        </w:rPr>
      </w:pPr>
    </w:p>
    <w:p>
      <w:pPr>
        <w:ind w:right="160" w:firstLine="267"/>
        <w:spacing w:after="0" w:line="279" w:lineRule="auto"/>
        <w:rPr>
          <w:sz w:val="20"/>
          <w:szCs w:val="20"/>
          <w:color w:val="auto"/>
        </w:rPr>
      </w:pPr>
      <w:r>
        <w:rPr>
          <w:rFonts w:ascii="Arial" w:cs="Arial" w:eastAsia="Arial" w:hAnsi="Arial"/>
          <w:sz w:val="17"/>
          <w:szCs w:val="17"/>
          <w:color w:val="auto"/>
        </w:rPr>
        <w:t>The following table is a summary of certain unaudited quarterly financial information for Fiscal 2005 and Fiscal 2004 restated to give effect of the lease adjustments and consolidation of RL Media as discussed in Note 2. Fiscal 2005 fourth quarter net income reflects a pretax charge for $98 million which was recorded to increase our reserve for the Jones litigation to $100 million for the full year as well as a $6.2 million pretax charge to establish a reserve for the alleged security breach matter as further discussed in Note 21. (in thousands, except per share data)</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8"/>
              </w:rPr>
              <w:t>July 3,</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5"/>
          </w:tcPr>
          <w:p>
            <w:pPr>
              <w:jc w:val="center"/>
              <w:ind w:right="720"/>
              <w:spacing w:after="0"/>
              <w:rPr>
                <w:sz w:val="20"/>
                <w:szCs w:val="20"/>
                <w:color w:val="auto"/>
              </w:rPr>
            </w:pPr>
            <w:r>
              <w:rPr>
                <w:rFonts w:ascii="Arial" w:cs="Arial" w:eastAsia="Arial" w:hAnsi="Arial"/>
                <w:sz w:val="13"/>
                <w:szCs w:val="13"/>
                <w:b w:val="1"/>
                <w:bCs w:val="1"/>
                <w:color w:val="auto"/>
                <w:w w:val="88"/>
              </w:rPr>
              <w:t>July 3,</w:t>
            </w:r>
          </w:p>
        </w:tc>
        <w:tc>
          <w:tcPr>
            <w:tcW w:w="7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October 2,</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7"/>
              </w:rPr>
              <w:t>October 2,</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87"/>
              </w:rPr>
              <w:t>January 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January 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ind w:left="100"/>
              <w:spacing w:after="0"/>
              <w:rPr>
                <w:sz w:val="20"/>
                <w:szCs w:val="20"/>
                <w:color w:val="auto"/>
              </w:rPr>
            </w:pPr>
            <w:r>
              <w:rPr>
                <w:rFonts w:ascii="Arial" w:cs="Arial" w:eastAsia="Arial" w:hAnsi="Arial"/>
                <w:sz w:val="13"/>
                <w:szCs w:val="13"/>
                <w:b w:val="1"/>
                <w:bCs w:val="1"/>
                <w:color w:val="auto"/>
              </w:rPr>
              <w:t>April 2,</w:t>
            </w:r>
          </w:p>
        </w:tc>
      </w:tr>
      <w:tr>
        <w:trPr>
          <w:trHeight w:val="153"/>
        </w:trPr>
        <w:tc>
          <w:tcPr>
            <w:tcW w:w="17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Fiscal 2005</w:t>
            </w: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center"/>
              <w:ind w:right="37"/>
              <w:spacing w:after="0"/>
              <w:rPr>
                <w:sz w:val="20"/>
                <w:szCs w:val="20"/>
                <w:color w:val="auto"/>
              </w:rPr>
            </w:pPr>
            <w:r>
              <w:rPr>
                <w:rFonts w:ascii="Arial" w:cs="Arial" w:eastAsia="Arial" w:hAnsi="Arial"/>
                <w:sz w:val="13"/>
                <w:szCs w:val="13"/>
                <w:b w:val="1"/>
                <w:bCs w:val="1"/>
                <w:color w:val="auto"/>
                <w:w w:val="89"/>
              </w:rPr>
              <w:t>2004</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2"/>
          </w:tcPr>
          <w:p>
            <w:pPr>
              <w:jc w:val="center"/>
              <w:ind w:left="43"/>
              <w:spacing w:after="0"/>
              <w:rPr>
                <w:sz w:val="20"/>
                <w:szCs w:val="20"/>
                <w:color w:val="auto"/>
              </w:rPr>
            </w:pPr>
            <w:r>
              <w:rPr>
                <w:rFonts w:ascii="Arial" w:cs="Arial" w:eastAsia="Arial" w:hAnsi="Arial"/>
                <w:sz w:val="13"/>
                <w:szCs w:val="13"/>
                <w:b w:val="1"/>
                <w:bCs w:val="1"/>
                <w:color w:val="auto"/>
                <w:w w:val="89"/>
              </w:rPr>
              <w:t>2004</w:t>
            </w:r>
          </w:p>
        </w:tc>
        <w:tc>
          <w:tcPr>
            <w:tcW w:w="3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ind w:right="146"/>
              <w:spacing w:after="0"/>
              <w:rPr>
                <w:sz w:val="20"/>
                <w:szCs w:val="20"/>
                <w:color w:val="auto"/>
              </w:rPr>
            </w:pPr>
            <w:r>
              <w:rPr>
                <w:rFonts w:ascii="Arial" w:cs="Arial" w:eastAsia="Arial" w:hAnsi="Arial"/>
                <w:sz w:val="13"/>
                <w:szCs w:val="13"/>
                <w:b w:val="1"/>
                <w:bCs w:val="1"/>
                <w:color w:val="auto"/>
                <w:w w:val="89"/>
              </w:rPr>
              <w:t>2004</w:t>
            </w:r>
          </w:p>
        </w:tc>
        <w:tc>
          <w:tcPr>
            <w:tcW w:w="4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center"/>
              <w:ind w:right="63"/>
              <w:spacing w:after="0"/>
              <w:rPr>
                <w:sz w:val="20"/>
                <w:szCs w:val="20"/>
                <w:color w:val="auto"/>
              </w:rPr>
            </w:pPr>
            <w:r>
              <w:rPr>
                <w:rFonts w:ascii="Arial" w:cs="Arial" w:eastAsia="Arial" w:hAnsi="Arial"/>
                <w:sz w:val="13"/>
                <w:szCs w:val="13"/>
                <w:b w:val="1"/>
                <w:bCs w:val="1"/>
                <w:color w:val="auto"/>
                <w:w w:val="89"/>
              </w:rPr>
              <w:t>2004</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6"/>
              <w:spacing w:after="0"/>
              <w:rPr>
                <w:sz w:val="20"/>
                <w:szCs w:val="20"/>
                <w:color w:val="auto"/>
              </w:rPr>
            </w:pPr>
            <w:r>
              <w:rPr>
                <w:rFonts w:ascii="Arial" w:cs="Arial" w:eastAsia="Arial" w:hAnsi="Arial"/>
                <w:sz w:val="13"/>
                <w:szCs w:val="13"/>
                <w:b w:val="1"/>
                <w:bCs w:val="1"/>
                <w:color w:val="auto"/>
                <w:w w:val="82"/>
              </w:rPr>
              <w:t>2005</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2005</w:t>
            </w:r>
          </w:p>
        </w:tc>
        <w:tc>
          <w:tcPr>
            <w:tcW w:w="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62"/>
              <w:spacing w:after="0"/>
              <w:rPr>
                <w:sz w:val="20"/>
                <w:szCs w:val="20"/>
                <w:color w:val="auto"/>
              </w:rPr>
            </w:pPr>
            <w:r>
              <w:rPr>
                <w:rFonts w:ascii="Arial" w:cs="Arial" w:eastAsia="Arial" w:hAnsi="Arial"/>
                <w:sz w:val="13"/>
                <w:szCs w:val="13"/>
                <w:b w:val="1"/>
                <w:bCs w:val="1"/>
                <w:color w:val="auto"/>
              </w:rPr>
              <w:t>2005</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24"/>
        </w:trPr>
        <w:tc>
          <w:tcPr>
            <w:tcW w:w="1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center"/>
              <w:ind w:right="157"/>
              <w:spacing w:after="0" w:line="124" w:lineRule="exact"/>
              <w:rPr>
                <w:sz w:val="20"/>
                <w:szCs w:val="20"/>
                <w:color w:val="auto"/>
              </w:rPr>
            </w:pPr>
            <w:r>
              <w:rPr>
                <w:rFonts w:ascii="Arial" w:cs="Arial" w:eastAsia="Arial" w:hAnsi="Arial"/>
                <w:sz w:val="13"/>
                <w:szCs w:val="13"/>
                <w:b w:val="1"/>
                <w:bCs w:val="1"/>
                <w:color w:val="auto"/>
                <w:w w:val="85"/>
              </w:rPr>
              <w:t>(As</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gridSpan w:val="4"/>
          </w:tcPr>
          <w:p>
            <w:pPr>
              <w:jc w:val="center"/>
              <w:spacing w:after="0" w:line="124" w:lineRule="exact"/>
              <w:rPr>
                <w:sz w:val="20"/>
                <w:szCs w:val="20"/>
                <w:color w:val="auto"/>
              </w:rPr>
            </w:pPr>
            <w:r>
              <w:rPr>
                <w:rFonts w:ascii="Arial" w:cs="Arial" w:eastAsia="Arial" w:hAnsi="Arial"/>
                <w:sz w:val="13"/>
                <w:szCs w:val="13"/>
                <w:b w:val="1"/>
                <w:bCs w:val="1"/>
                <w:color w:val="auto"/>
                <w:w w:val="85"/>
              </w:rPr>
              <w:t>(As Restated</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146"/>
              <w:spacing w:after="0" w:line="124" w:lineRule="exact"/>
              <w:rPr>
                <w:sz w:val="20"/>
                <w:szCs w:val="20"/>
                <w:color w:val="auto"/>
              </w:rPr>
            </w:pPr>
            <w:r>
              <w:rPr>
                <w:rFonts w:ascii="Arial" w:cs="Arial" w:eastAsia="Arial" w:hAnsi="Arial"/>
                <w:sz w:val="13"/>
                <w:szCs w:val="13"/>
                <w:b w:val="1"/>
                <w:bCs w:val="1"/>
                <w:color w:val="auto"/>
                <w:w w:val="85"/>
              </w:rPr>
              <w:t>(As</w:t>
            </w: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jc w:val="center"/>
              <w:ind w:right="43"/>
              <w:spacing w:after="0" w:line="124" w:lineRule="exact"/>
              <w:rPr>
                <w:sz w:val="20"/>
                <w:szCs w:val="20"/>
                <w:color w:val="auto"/>
              </w:rPr>
            </w:pPr>
            <w:r>
              <w:rPr>
                <w:rFonts w:ascii="Arial" w:cs="Arial" w:eastAsia="Arial" w:hAnsi="Arial"/>
                <w:sz w:val="13"/>
                <w:szCs w:val="13"/>
                <w:b w:val="1"/>
                <w:bCs w:val="1"/>
                <w:color w:val="auto"/>
                <w:w w:val="85"/>
              </w:rPr>
              <w:t>(As Restated</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ind w:right="26"/>
              <w:spacing w:after="0" w:line="124" w:lineRule="exact"/>
              <w:rPr>
                <w:sz w:val="20"/>
                <w:szCs w:val="20"/>
                <w:color w:val="auto"/>
              </w:rPr>
            </w:pPr>
            <w:r>
              <w:rPr>
                <w:rFonts w:ascii="Arial" w:cs="Arial" w:eastAsia="Arial" w:hAnsi="Arial"/>
                <w:sz w:val="13"/>
                <w:szCs w:val="13"/>
                <w:b w:val="1"/>
                <w:bCs w:val="1"/>
                <w:color w:val="auto"/>
                <w:w w:val="85"/>
              </w:rPr>
              <w:t>(As</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3"/>
          </w:tcPr>
          <w:p>
            <w:pPr>
              <w:jc w:val="center"/>
              <w:ind w:right="140"/>
              <w:spacing w:after="0" w:line="124" w:lineRule="exact"/>
              <w:rPr>
                <w:sz w:val="20"/>
                <w:szCs w:val="20"/>
                <w:color w:val="auto"/>
              </w:rPr>
            </w:pPr>
            <w:r>
              <w:rPr>
                <w:rFonts w:ascii="Arial" w:cs="Arial" w:eastAsia="Arial" w:hAnsi="Arial"/>
                <w:sz w:val="13"/>
                <w:szCs w:val="13"/>
                <w:b w:val="1"/>
                <w:bCs w:val="1"/>
                <w:color w:val="auto"/>
                <w:w w:val="85"/>
              </w:rPr>
              <w:t>(As Restated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53"/>
        </w:trPr>
        <w:tc>
          <w:tcPr>
            <w:tcW w:w="1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87"/>
              </w:rPr>
              <w:t>Reported)</w:t>
            </w:r>
          </w:p>
        </w:tc>
        <w:tc>
          <w:tcPr>
            <w:tcW w:w="320" w:type="dxa"/>
            <w:vAlign w:val="bottom"/>
          </w:tcPr>
          <w:p>
            <w:pPr>
              <w:spacing w:after="0"/>
              <w:rPr>
                <w:sz w:val="13"/>
                <w:szCs w:val="13"/>
                <w:color w:val="auto"/>
              </w:rPr>
            </w:pPr>
          </w:p>
        </w:tc>
        <w:tc>
          <w:tcPr>
            <w:tcW w:w="1500" w:type="dxa"/>
            <w:vAlign w:val="bottom"/>
            <w:gridSpan w:val="6"/>
          </w:tcPr>
          <w:p>
            <w:pPr>
              <w:jc w:val="center"/>
              <w:ind w:right="460"/>
              <w:spacing w:after="0"/>
              <w:rPr>
                <w:sz w:val="20"/>
                <w:szCs w:val="20"/>
                <w:color w:val="auto"/>
              </w:rPr>
            </w:pPr>
            <w:r>
              <w:rPr>
                <w:rFonts w:ascii="Arial" w:cs="Arial" w:eastAsia="Arial" w:hAnsi="Arial"/>
                <w:sz w:val="13"/>
                <w:szCs w:val="13"/>
                <w:b w:val="1"/>
                <w:bCs w:val="1"/>
                <w:color w:val="auto"/>
                <w:w w:val="84"/>
              </w:rPr>
              <w:t>See Note 2)</w:t>
            </w:r>
          </w:p>
        </w:tc>
        <w:tc>
          <w:tcPr>
            <w:tcW w:w="74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Reported)</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4"/>
              </w:rPr>
              <w:t>See Note 2)</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91"/>
              </w:rPr>
              <w:t>Reported)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See Note 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03"/>
        </w:trPr>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w w:val="95"/>
              </w:rPr>
              <w:t>$ 592,750</w:t>
            </w:r>
          </w:p>
        </w:tc>
        <w:tc>
          <w:tcPr>
            <w:tcW w:w="580" w:type="dxa"/>
            <w:vAlign w:val="bottom"/>
            <w:gridSpan w:val="2"/>
            <w:shd w:val="clear" w:color="auto" w:fill="CCEEFF"/>
          </w:tcPr>
          <w:p>
            <w:pPr>
              <w:jc w:val="right"/>
              <w:ind w:right="117"/>
              <w:spacing w:after="0"/>
              <w:rPr>
                <w:sz w:val="20"/>
                <w:szCs w:val="20"/>
                <w:color w:val="auto"/>
              </w:rPr>
            </w:pPr>
            <w:r>
              <w:rPr>
                <w:rFonts w:ascii="Arial" w:cs="Arial" w:eastAsia="Arial" w:hAnsi="Arial"/>
                <w:sz w:val="16"/>
                <w:szCs w:val="16"/>
                <w:color w:val="auto"/>
              </w:rPr>
              <w:t>$</w:t>
            </w:r>
          </w:p>
        </w:tc>
        <w:tc>
          <w:tcPr>
            <w:tcW w:w="1080" w:type="dxa"/>
            <w:vAlign w:val="bottom"/>
            <w:gridSpan w:val="4"/>
            <w:shd w:val="clear" w:color="auto" w:fill="CCEEFF"/>
          </w:tcPr>
          <w:p>
            <w:pPr>
              <w:jc w:val="right"/>
              <w:ind w:right="280"/>
              <w:spacing w:after="0"/>
              <w:rPr>
                <w:sz w:val="20"/>
                <w:szCs w:val="20"/>
                <w:color w:val="auto"/>
              </w:rPr>
            </w:pPr>
            <w:r>
              <w:rPr>
                <w:rFonts w:ascii="Arial" w:cs="Arial" w:eastAsia="Arial" w:hAnsi="Arial"/>
                <w:sz w:val="16"/>
                <w:szCs w:val="16"/>
                <w:color w:val="auto"/>
              </w:rPr>
              <w:t>606,006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883,680</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895,614</w:t>
            </w:r>
          </w:p>
        </w:tc>
        <w:tc>
          <w:tcPr>
            <w:tcW w:w="4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887,993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901,574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902,222</w:t>
            </w:r>
          </w:p>
        </w:tc>
        <w:tc>
          <w:tcPr>
            <w:tcW w:w="200" w:type="dxa"/>
            <w:vAlign w:val="bottom"/>
            <w:shd w:val="clear" w:color="auto" w:fill="CCEEFF"/>
          </w:tcPr>
          <w:p>
            <w:pPr>
              <w:spacing w:after="0"/>
              <w:rPr>
                <w:sz w:val="17"/>
                <w:szCs w:val="17"/>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6"/>
                <w:szCs w:val="16"/>
                <w:color w:val="auto"/>
                <w:w w:val="93"/>
              </w:rPr>
              <w:t>307,100</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4"/>
          </w:tcPr>
          <w:p>
            <w:pPr>
              <w:jc w:val="right"/>
              <w:ind w:right="280"/>
              <w:spacing w:after="0"/>
              <w:rPr>
                <w:sz w:val="20"/>
                <w:szCs w:val="20"/>
                <w:color w:val="auto"/>
              </w:rPr>
            </w:pPr>
            <w:r>
              <w:rPr>
                <w:rFonts w:ascii="Arial" w:cs="Arial" w:eastAsia="Arial" w:hAnsi="Arial"/>
                <w:sz w:val="16"/>
                <w:szCs w:val="16"/>
                <w:color w:val="auto"/>
              </w:rPr>
              <w:t>315,528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437,755</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446,034</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438,033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446,076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476,909</w:t>
            </w:r>
          </w:p>
        </w:tc>
        <w:tc>
          <w:tcPr>
            <w:tcW w:w="200" w:type="dxa"/>
            <w:vAlign w:val="bottom"/>
          </w:tcPr>
          <w:p>
            <w:pPr>
              <w:spacing w:after="0"/>
              <w:rPr>
                <w:sz w:val="17"/>
                <w:szCs w:val="17"/>
                <w:color w:val="auto"/>
              </w:rPr>
            </w:pPr>
          </w:p>
        </w:tc>
      </w:tr>
      <w:tr>
        <w:trPr>
          <w:trHeight w:val="203"/>
        </w:trPr>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13,403</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280"/>
              <w:spacing w:after="0"/>
              <w:rPr>
                <w:sz w:val="20"/>
                <w:szCs w:val="20"/>
                <w:color w:val="auto"/>
              </w:rPr>
            </w:pPr>
            <w:r>
              <w:rPr>
                <w:rFonts w:ascii="Arial" w:cs="Arial" w:eastAsia="Arial" w:hAnsi="Arial"/>
                <w:sz w:val="16"/>
                <w:szCs w:val="16"/>
                <w:color w:val="auto"/>
              </w:rPr>
              <w:t>12,725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80,407</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79,268</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74,842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75,036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23,396</w:t>
            </w:r>
          </w:p>
        </w:tc>
        <w:tc>
          <w:tcPr>
            <w:tcW w:w="200" w:type="dxa"/>
            <w:vAlign w:val="bottom"/>
            <w:shd w:val="clear" w:color="auto" w:fill="CCEEFF"/>
          </w:tcPr>
          <w:p>
            <w:pPr>
              <w:spacing w:after="0"/>
              <w:rPr>
                <w:sz w:val="17"/>
                <w:szCs w:val="17"/>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w w:val="99"/>
              </w:rPr>
              <w:t>Net income per share —</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7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0.13</w:t>
            </w:r>
          </w:p>
        </w:tc>
        <w:tc>
          <w:tcPr>
            <w:tcW w:w="580" w:type="dxa"/>
            <w:vAlign w:val="bottom"/>
            <w:gridSpan w:val="2"/>
            <w:shd w:val="clear" w:color="auto" w:fill="CCEEFF"/>
          </w:tcPr>
          <w:p>
            <w:pPr>
              <w:jc w:val="right"/>
              <w:ind w:right="117"/>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0.13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0.79</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4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0.73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0.74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0.23</w:t>
            </w:r>
          </w:p>
        </w:tc>
        <w:tc>
          <w:tcPr>
            <w:tcW w:w="200" w:type="dxa"/>
            <w:vAlign w:val="bottom"/>
            <w:shd w:val="clear" w:color="auto" w:fill="CCEEFF"/>
          </w:tcPr>
          <w:p>
            <w:pPr>
              <w:spacing w:after="0"/>
              <w:rPr>
                <w:sz w:val="17"/>
                <w:szCs w:val="17"/>
                <w:color w:val="auto"/>
              </w:rPr>
            </w:pPr>
          </w:p>
        </w:tc>
      </w:tr>
      <w:tr>
        <w:trPr>
          <w:trHeight w:val="203"/>
        </w:trPr>
        <w:tc>
          <w:tcPr>
            <w:tcW w:w="1740" w:type="dxa"/>
            <w:vAlign w:val="bottom"/>
            <w:gridSpan w:val="2"/>
          </w:tcPr>
          <w:p>
            <w:pPr>
              <w:ind w:left="240"/>
              <w:spacing w:after="0"/>
              <w:rPr>
                <w:sz w:val="20"/>
                <w:szCs w:val="20"/>
                <w:color w:val="auto"/>
              </w:rPr>
            </w:pPr>
            <w:r>
              <w:rPr>
                <w:rFonts w:ascii="Arial" w:cs="Arial" w:eastAsia="Arial" w:hAnsi="Arial"/>
                <w:sz w:val="16"/>
                <w:szCs w:val="16"/>
                <w:color w:val="auto"/>
              </w:rPr>
              <w:t>Diluted</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6"/>
                <w:szCs w:val="16"/>
                <w:color w:val="auto"/>
              </w:rPr>
              <w:t>0.13</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6"/>
                <w:szCs w:val="16"/>
                <w:color w:val="auto"/>
              </w:rPr>
              <w:t>0.12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0.78</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0.77</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0.72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0.72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0.22</w:t>
            </w:r>
          </w:p>
        </w:tc>
        <w:tc>
          <w:tcPr>
            <w:tcW w:w="200" w:type="dxa"/>
            <w:vAlign w:val="bottom"/>
          </w:tcPr>
          <w:p>
            <w:pPr>
              <w:spacing w:after="0"/>
              <w:rPr>
                <w:sz w:val="17"/>
                <w:szCs w:val="17"/>
                <w:color w:val="auto"/>
              </w:rPr>
            </w:pPr>
          </w:p>
        </w:tc>
      </w:tr>
      <w:tr>
        <w:trPr>
          <w:trHeight w:val="203"/>
        </w:trPr>
        <w:tc>
          <w:tcPr>
            <w:tcW w:w="250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Shares outstanding — Basic</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w w:val="93"/>
              </w:rPr>
              <w:t>100,481</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280"/>
              <w:spacing w:after="0"/>
              <w:rPr>
                <w:sz w:val="20"/>
                <w:szCs w:val="20"/>
                <w:color w:val="auto"/>
              </w:rPr>
            </w:pPr>
            <w:r>
              <w:rPr>
                <w:rFonts w:ascii="Arial" w:cs="Arial" w:eastAsia="Arial" w:hAnsi="Arial"/>
                <w:sz w:val="16"/>
                <w:szCs w:val="16"/>
                <w:color w:val="auto"/>
              </w:rPr>
              <w:t>100,481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101,192</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101,192</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101,896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101,896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102,506</w:t>
            </w:r>
          </w:p>
        </w:tc>
        <w:tc>
          <w:tcPr>
            <w:tcW w:w="200" w:type="dxa"/>
            <w:vAlign w:val="bottom"/>
            <w:shd w:val="clear" w:color="auto" w:fill="CCEEFF"/>
          </w:tcPr>
          <w:p>
            <w:pPr>
              <w:spacing w:after="0"/>
              <w:rPr>
                <w:sz w:val="17"/>
                <w:szCs w:val="17"/>
                <w:color w:val="auto"/>
              </w:rPr>
            </w:pPr>
          </w:p>
        </w:tc>
      </w:tr>
      <w:tr>
        <w:trPr>
          <w:trHeight w:val="206"/>
        </w:trPr>
        <w:tc>
          <w:tcPr>
            <w:tcW w:w="2500" w:type="dxa"/>
            <w:vAlign w:val="bottom"/>
            <w:gridSpan w:val="6"/>
          </w:tcPr>
          <w:p>
            <w:pPr>
              <w:spacing w:after="0"/>
              <w:rPr>
                <w:sz w:val="20"/>
                <w:szCs w:val="20"/>
                <w:color w:val="auto"/>
              </w:rPr>
            </w:pPr>
            <w:r>
              <w:rPr>
                <w:rFonts w:ascii="Arial" w:cs="Arial" w:eastAsia="Arial" w:hAnsi="Arial"/>
                <w:sz w:val="16"/>
                <w:szCs w:val="16"/>
                <w:color w:val="auto"/>
              </w:rPr>
              <w:t>Shares outstanding — Diluted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6"/>
                <w:szCs w:val="16"/>
                <w:color w:val="auto"/>
                <w:w w:val="93"/>
              </w:rPr>
              <w:t>102,802</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4"/>
          </w:tcPr>
          <w:p>
            <w:pPr>
              <w:jc w:val="right"/>
              <w:ind w:right="280"/>
              <w:spacing w:after="0"/>
              <w:rPr>
                <w:sz w:val="20"/>
                <w:szCs w:val="20"/>
                <w:color w:val="auto"/>
              </w:rPr>
            </w:pPr>
            <w:r>
              <w:rPr>
                <w:rFonts w:ascii="Arial" w:cs="Arial" w:eastAsia="Arial" w:hAnsi="Arial"/>
                <w:sz w:val="16"/>
                <w:szCs w:val="16"/>
                <w:color w:val="auto"/>
              </w:rPr>
              <w:t>102,802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103,571</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103,571</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104,325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104,325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105,341</w:t>
            </w:r>
          </w:p>
        </w:tc>
        <w:tc>
          <w:tcPr>
            <w:tcW w:w="200" w:type="dxa"/>
            <w:vAlign w:val="bottom"/>
          </w:tcPr>
          <w:p>
            <w:pPr>
              <w:spacing w:after="0"/>
              <w:rPr>
                <w:sz w:val="17"/>
                <w:szCs w:val="17"/>
                <w:color w:val="auto"/>
              </w:rPr>
            </w:pPr>
          </w:p>
        </w:tc>
      </w:tr>
      <w:tr>
        <w:trPr>
          <w:trHeight w:val="235"/>
        </w:trPr>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4"/>
              </w:rPr>
              <w:t>June 28,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4"/>
          </w:tcPr>
          <w:p>
            <w:pPr>
              <w:jc w:val="center"/>
              <w:spacing w:after="0"/>
              <w:rPr>
                <w:sz w:val="20"/>
                <w:szCs w:val="20"/>
                <w:color w:val="auto"/>
              </w:rPr>
            </w:pPr>
            <w:r>
              <w:rPr>
                <w:rFonts w:ascii="Arial" w:cs="Arial" w:eastAsia="Arial" w:hAnsi="Arial"/>
                <w:sz w:val="13"/>
                <w:szCs w:val="13"/>
                <w:b w:val="1"/>
                <w:bCs w:val="1"/>
                <w:color w:val="auto"/>
                <w:w w:val="84"/>
              </w:rPr>
              <w:t>June 28,</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5"/>
              </w:rPr>
              <w:t>Sept. 27,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5"/>
              </w:rPr>
              <w:t>Sept. 27,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Dec. 27,</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85"/>
              </w:rPr>
              <w:t>Dec. 27,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April 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4"/>
          </w:tcPr>
          <w:p>
            <w:pPr>
              <w:jc w:val="center"/>
              <w:ind w:right="540"/>
              <w:spacing w:after="0"/>
              <w:rPr>
                <w:sz w:val="20"/>
                <w:szCs w:val="20"/>
                <w:color w:val="auto"/>
              </w:rPr>
            </w:pPr>
            <w:r>
              <w:rPr>
                <w:rFonts w:ascii="Arial" w:cs="Arial" w:eastAsia="Arial" w:hAnsi="Arial"/>
                <w:sz w:val="13"/>
                <w:szCs w:val="13"/>
                <w:b w:val="1"/>
                <w:bCs w:val="1"/>
                <w:color w:val="auto"/>
                <w:w w:val="90"/>
              </w:rPr>
              <w:t>April 3,</w:t>
            </w:r>
          </w:p>
        </w:tc>
      </w:tr>
      <w:tr>
        <w:trPr>
          <w:trHeight w:val="153"/>
        </w:trPr>
        <w:tc>
          <w:tcPr>
            <w:tcW w:w="1740" w:type="dxa"/>
            <w:vAlign w:val="bottom"/>
            <w:gridSpan w:val="2"/>
          </w:tcPr>
          <w:p>
            <w:pPr>
              <w:spacing w:after="0"/>
              <w:rPr>
                <w:sz w:val="20"/>
                <w:szCs w:val="20"/>
                <w:color w:val="auto"/>
              </w:rPr>
            </w:pPr>
            <w:r>
              <w:rPr>
                <w:rFonts w:ascii="Arial" w:cs="Arial" w:eastAsia="Arial" w:hAnsi="Arial"/>
                <w:sz w:val="13"/>
                <w:szCs w:val="13"/>
                <w:b w:val="1"/>
                <w:bCs w:val="1"/>
                <w:color w:val="auto"/>
              </w:rPr>
              <w:t>Fiscal 2004</w:t>
            </w:r>
          </w:p>
        </w:tc>
        <w:tc>
          <w:tcPr>
            <w:tcW w:w="80" w:type="dxa"/>
            <w:vAlign w:val="bottom"/>
          </w:tcPr>
          <w:p>
            <w:pPr>
              <w:spacing w:after="0"/>
              <w:rPr>
                <w:sz w:val="13"/>
                <w:szCs w:val="13"/>
                <w:color w:val="auto"/>
              </w:rPr>
            </w:pPr>
          </w:p>
        </w:tc>
        <w:tc>
          <w:tcPr>
            <w:tcW w:w="480" w:type="dxa"/>
            <w:vAlign w:val="bottom"/>
          </w:tcPr>
          <w:p>
            <w:pPr>
              <w:jc w:val="center"/>
              <w:ind w:left="6"/>
              <w:spacing w:after="0"/>
              <w:rPr>
                <w:sz w:val="20"/>
                <w:szCs w:val="20"/>
                <w:color w:val="auto"/>
              </w:rPr>
            </w:pPr>
            <w:r>
              <w:rPr>
                <w:rFonts w:ascii="Arial" w:cs="Arial" w:eastAsia="Arial" w:hAnsi="Arial"/>
                <w:sz w:val="13"/>
                <w:szCs w:val="13"/>
                <w:b w:val="1"/>
                <w:bCs w:val="1"/>
                <w:color w:val="auto"/>
                <w:w w:val="82"/>
              </w:rPr>
              <w:t>2003</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4"/>
          </w:tcPr>
          <w:p>
            <w:pPr>
              <w:jc w:val="center"/>
              <w:ind w:left="304"/>
              <w:spacing w:after="0"/>
              <w:rPr>
                <w:sz w:val="20"/>
                <w:szCs w:val="20"/>
                <w:color w:val="auto"/>
              </w:rPr>
            </w:pPr>
            <w:r>
              <w:rPr>
                <w:rFonts w:ascii="Arial" w:cs="Arial" w:eastAsia="Arial" w:hAnsi="Arial"/>
                <w:sz w:val="13"/>
                <w:szCs w:val="13"/>
                <w:b w:val="1"/>
                <w:bCs w:val="1"/>
                <w:color w:val="auto"/>
                <w:w w:val="82"/>
              </w:rPr>
              <w:t>2003</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2003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2"/>
              </w:rPr>
              <w:t>2003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9"/>
              </w:rPr>
              <w:t>2003</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9"/>
              </w:rPr>
              <w:t>2003</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center"/>
              <w:ind w:right="25"/>
              <w:spacing w:after="0"/>
              <w:rPr>
                <w:sz w:val="20"/>
                <w:szCs w:val="20"/>
                <w:color w:val="auto"/>
              </w:rPr>
            </w:pPr>
            <w:r>
              <w:rPr>
                <w:rFonts w:ascii="Arial" w:cs="Arial" w:eastAsia="Arial" w:hAnsi="Arial"/>
                <w:sz w:val="13"/>
                <w:szCs w:val="13"/>
                <w:b w:val="1"/>
                <w:bCs w:val="1"/>
                <w:color w:val="auto"/>
                <w:w w:val="89"/>
              </w:rPr>
              <w:t>2004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322"/>
              <w:spacing w:after="0"/>
              <w:rPr>
                <w:sz w:val="20"/>
                <w:szCs w:val="20"/>
                <w:color w:val="auto"/>
              </w:rPr>
            </w:pPr>
            <w:r>
              <w:rPr>
                <w:rFonts w:ascii="Arial" w:cs="Arial" w:eastAsia="Arial" w:hAnsi="Arial"/>
                <w:sz w:val="13"/>
                <w:szCs w:val="13"/>
                <w:b w:val="1"/>
                <w:bCs w:val="1"/>
                <w:color w:val="auto"/>
                <w:w w:val="82"/>
              </w:rPr>
              <w:t>2004</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24"/>
        </w:trPr>
        <w:tc>
          <w:tcPr>
            <w:tcW w:w="15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center"/>
              <w:ind w:right="60"/>
              <w:spacing w:after="0" w:line="124" w:lineRule="exact"/>
              <w:rPr>
                <w:sz w:val="20"/>
                <w:szCs w:val="20"/>
                <w:color w:val="auto"/>
              </w:rPr>
            </w:pPr>
            <w:r>
              <w:rPr>
                <w:rFonts w:ascii="Arial" w:cs="Arial" w:eastAsia="Arial" w:hAnsi="Arial"/>
                <w:sz w:val="13"/>
                <w:szCs w:val="13"/>
                <w:b w:val="1"/>
                <w:bCs w:val="1"/>
                <w:color w:val="auto"/>
                <w:w w:val="85"/>
              </w:rPr>
              <w:t>(As</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Borders>
              <w:top w:val="single" w:sz="8" w:color="auto"/>
            </w:tcBorders>
            <w:gridSpan w:val="4"/>
          </w:tcPr>
          <w:p>
            <w:pPr>
              <w:jc w:val="center"/>
              <w:spacing w:after="0" w:line="124" w:lineRule="exact"/>
              <w:rPr>
                <w:sz w:val="20"/>
                <w:szCs w:val="20"/>
                <w:color w:val="auto"/>
              </w:rPr>
            </w:pPr>
            <w:r>
              <w:rPr>
                <w:rFonts w:ascii="Arial" w:cs="Arial" w:eastAsia="Arial" w:hAnsi="Arial"/>
                <w:sz w:val="13"/>
                <w:szCs w:val="13"/>
                <w:b w:val="1"/>
                <w:bCs w:val="1"/>
                <w:color w:val="auto"/>
                <w:w w:val="85"/>
              </w:rPr>
              <w:t>(As Restated</w:t>
            </w: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ind w:right="80"/>
              <w:spacing w:after="0" w:line="124" w:lineRule="exact"/>
              <w:rPr>
                <w:sz w:val="20"/>
                <w:szCs w:val="20"/>
                <w:color w:val="auto"/>
              </w:rPr>
            </w:pPr>
            <w:r>
              <w:rPr>
                <w:rFonts w:ascii="Arial" w:cs="Arial" w:eastAsia="Arial" w:hAnsi="Arial"/>
                <w:sz w:val="13"/>
                <w:szCs w:val="13"/>
                <w:b w:val="1"/>
                <w:bCs w:val="1"/>
                <w:color w:val="auto"/>
                <w:w w:val="85"/>
              </w:rPr>
              <w:t>(As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3"/>
          </w:tcPr>
          <w:p>
            <w:pPr>
              <w:jc w:val="center"/>
              <w:ind w:right="100"/>
              <w:spacing w:after="0" w:line="124" w:lineRule="exact"/>
              <w:rPr>
                <w:sz w:val="20"/>
                <w:szCs w:val="20"/>
                <w:color w:val="auto"/>
              </w:rPr>
            </w:pPr>
            <w:r>
              <w:rPr>
                <w:rFonts w:ascii="Arial" w:cs="Arial" w:eastAsia="Arial" w:hAnsi="Arial"/>
                <w:sz w:val="13"/>
                <w:szCs w:val="13"/>
                <w:b w:val="1"/>
                <w:bCs w:val="1"/>
                <w:color w:val="auto"/>
                <w:w w:val="85"/>
              </w:rPr>
              <w:t>(As Restated</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center"/>
              <w:ind w:right="100"/>
              <w:spacing w:after="0" w:line="124" w:lineRule="exact"/>
              <w:rPr>
                <w:sz w:val="20"/>
                <w:szCs w:val="20"/>
                <w:color w:val="auto"/>
              </w:rPr>
            </w:pPr>
            <w:r>
              <w:rPr>
                <w:rFonts w:ascii="Arial" w:cs="Arial" w:eastAsia="Arial" w:hAnsi="Arial"/>
                <w:sz w:val="13"/>
                <w:szCs w:val="13"/>
                <w:b w:val="1"/>
                <w:bCs w:val="1"/>
                <w:color w:val="auto"/>
                <w:w w:val="85"/>
              </w:rPr>
              <w:t>(As</w:t>
            </w: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center"/>
              <w:ind w:right="200"/>
              <w:spacing w:after="0" w:line="124" w:lineRule="exact"/>
              <w:rPr>
                <w:sz w:val="20"/>
                <w:szCs w:val="20"/>
                <w:color w:val="auto"/>
              </w:rPr>
            </w:pPr>
            <w:r>
              <w:rPr>
                <w:rFonts w:ascii="Arial" w:cs="Arial" w:eastAsia="Arial" w:hAnsi="Arial"/>
                <w:sz w:val="13"/>
                <w:szCs w:val="13"/>
                <w:b w:val="1"/>
                <w:bCs w:val="1"/>
                <w:color w:val="auto"/>
                <w:w w:val="85"/>
              </w:rPr>
              <w:t>(As Restated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25"/>
              <w:spacing w:after="0" w:line="124" w:lineRule="exact"/>
              <w:rPr>
                <w:sz w:val="20"/>
                <w:szCs w:val="20"/>
                <w:color w:val="auto"/>
              </w:rPr>
            </w:pPr>
            <w:r>
              <w:rPr>
                <w:rFonts w:ascii="Arial" w:cs="Arial" w:eastAsia="Arial" w:hAnsi="Arial"/>
                <w:sz w:val="13"/>
                <w:szCs w:val="13"/>
                <w:b w:val="1"/>
                <w:bCs w:val="1"/>
                <w:color w:val="auto"/>
                <w:w w:val="85"/>
              </w:rPr>
              <w:t>(As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3"/>
          </w:tcPr>
          <w:p>
            <w:pPr>
              <w:jc w:val="center"/>
              <w:ind w:right="62"/>
              <w:spacing w:after="0" w:line="124" w:lineRule="exact"/>
              <w:rPr>
                <w:sz w:val="20"/>
                <w:szCs w:val="20"/>
                <w:color w:val="auto"/>
              </w:rPr>
            </w:pPr>
            <w:r>
              <w:rPr>
                <w:rFonts w:ascii="Arial" w:cs="Arial" w:eastAsia="Arial" w:hAnsi="Arial"/>
                <w:sz w:val="13"/>
                <w:szCs w:val="13"/>
                <w:b w:val="1"/>
                <w:bCs w:val="1"/>
                <w:color w:val="auto"/>
                <w:w w:val="85"/>
              </w:rPr>
              <w:t>(As Restated</w:t>
            </w:r>
          </w:p>
        </w:tc>
        <w:tc>
          <w:tcPr>
            <w:tcW w:w="220" w:type="dxa"/>
            <w:vAlign w:val="bottom"/>
            <w:gridSpan w:val="2"/>
          </w:tcPr>
          <w:p>
            <w:pPr>
              <w:spacing w:after="0"/>
              <w:rPr>
                <w:sz w:val="10"/>
                <w:szCs w:val="10"/>
                <w:color w:val="auto"/>
              </w:rPr>
            </w:pPr>
          </w:p>
        </w:tc>
      </w:tr>
      <w:tr>
        <w:trPr>
          <w:trHeight w:val="153"/>
        </w:trPr>
        <w:tc>
          <w:tcPr>
            <w:tcW w:w="1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1"/>
              </w:rPr>
              <w:t>Reported)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4"/>
          </w:tcPr>
          <w:p>
            <w:pPr>
              <w:jc w:val="center"/>
              <w:spacing w:after="0"/>
              <w:rPr>
                <w:sz w:val="20"/>
                <w:szCs w:val="20"/>
                <w:color w:val="auto"/>
              </w:rPr>
            </w:pPr>
            <w:r>
              <w:rPr>
                <w:rFonts w:ascii="Arial" w:cs="Arial" w:eastAsia="Arial" w:hAnsi="Arial"/>
                <w:sz w:val="13"/>
                <w:szCs w:val="13"/>
                <w:b w:val="1"/>
                <w:bCs w:val="1"/>
                <w:color w:val="auto"/>
                <w:w w:val="84"/>
              </w:rPr>
              <w:t>See Note 2)</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7"/>
              </w:rPr>
              <w:t>Reported)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84"/>
              </w:rPr>
              <w:t>See Note 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Reported)</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84"/>
              </w:rPr>
              <w:t>See Note 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7"/>
              </w:rPr>
              <w:t>Reported)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5"/>
          </w:tcPr>
          <w:p>
            <w:pPr>
              <w:jc w:val="center"/>
              <w:ind w:right="360"/>
              <w:spacing w:after="0"/>
              <w:rPr>
                <w:sz w:val="20"/>
                <w:szCs w:val="20"/>
                <w:color w:val="auto"/>
              </w:rPr>
            </w:pPr>
            <w:r>
              <w:rPr>
                <w:rFonts w:ascii="Arial" w:cs="Arial" w:eastAsia="Arial" w:hAnsi="Arial"/>
                <w:sz w:val="13"/>
                <w:szCs w:val="13"/>
                <w:b w:val="1"/>
                <w:bCs w:val="1"/>
                <w:color w:val="auto"/>
                <w:w w:val="84"/>
              </w:rPr>
              <w:t>See Note 2)</w:t>
            </w:r>
          </w:p>
        </w:tc>
      </w:tr>
      <w:tr>
        <w:trPr>
          <w:trHeight w:val="203"/>
        </w:trPr>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477,731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97"/>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6"/>
              </w:rPr>
              <w:t>477,731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707,777</w:t>
            </w:r>
          </w:p>
        </w:tc>
        <w:tc>
          <w:tcPr>
            <w:tcW w:w="1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707,777</w:t>
            </w:r>
          </w:p>
        </w:tc>
        <w:tc>
          <w:tcPr>
            <w:tcW w:w="1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645,365</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645,365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818,781</w:t>
            </w:r>
          </w:p>
        </w:tc>
        <w:tc>
          <w:tcPr>
            <w:tcW w:w="2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818,781</w:t>
            </w:r>
          </w:p>
        </w:tc>
        <w:tc>
          <w:tcPr>
            <w:tcW w:w="200" w:type="dxa"/>
            <w:vAlign w:val="bottom"/>
            <w:shd w:val="clear" w:color="auto" w:fill="CCEEFF"/>
          </w:tcPr>
          <w:p>
            <w:pPr>
              <w:spacing w:after="0"/>
              <w:rPr>
                <w:sz w:val="17"/>
                <w:szCs w:val="17"/>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80" w:type="dxa"/>
            <w:vAlign w:val="bottom"/>
          </w:tcPr>
          <w:p>
            <w:pPr>
              <w:spacing w:after="0"/>
              <w:rPr>
                <w:sz w:val="17"/>
                <w:szCs w:val="17"/>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6"/>
                <w:szCs w:val="16"/>
                <w:color w:val="auto"/>
              </w:rPr>
              <w:t>248,752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w w:val="96"/>
              </w:rPr>
              <w:t>248,752</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350,566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350,566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333,002</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6"/>
                <w:szCs w:val="16"/>
                <w:color w:val="auto"/>
              </w:rPr>
              <w:t>333,002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390,999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390,999</w:t>
            </w:r>
          </w:p>
        </w:tc>
        <w:tc>
          <w:tcPr>
            <w:tcW w:w="200" w:type="dxa"/>
            <w:vAlign w:val="bottom"/>
          </w:tcPr>
          <w:p>
            <w:pPr>
              <w:spacing w:after="0"/>
              <w:rPr>
                <w:sz w:val="17"/>
                <w:szCs w:val="17"/>
                <w:color w:val="auto"/>
              </w:rPr>
            </w:pPr>
          </w:p>
        </w:tc>
      </w:tr>
      <w:tr>
        <w:trPr>
          <w:trHeight w:val="203"/>
        </w:trPr>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5,055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5,042</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54,010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53,323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35,358</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34,418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76,531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76,446</w:t>
            </w:r>
          </w:p>
        </w:tc>
        <w:tc>
          <w:tcPr>
            <w:tcW w:w="200" w:type="dxa"/>
            <w:vAlign w:val="bottom"/>
            <w:shd w:val="clear" w:color="auto" w:fill="CCEEFF"/>
          </w:tcPr>
          <w:p>
            <w:pPr>
              <w:spacing w:after="0"/>
              <w:rPr>
                <w:sz w:val="17"/>
                <w:szCs w:val="17"/>
                <w:color w:val="auto"/>
              </w:rPr>
            </w:pPr>
          </w:p>
        </w:tc>
      </w:tr>
      <w:tr>
        <w:trPr>
          <w:trHeight w:val="193"/>
        </w:trPr>
        <w:tc>
          <w:tcPr>
            <w:tcW w:w="1740" w:type="dxa"/>
            <w:vAlign w:val="bottom"/>
            <w:gridSpan w:val="2"/>
          </w:tcPr>
          <w:p>
            <w:pPr>
              <w:spacing w:after="0"/>
              <w:rPr>
                <w:sz w:val="20"/>
                <w:szCs w:val="20"/>
                <w:color w:val="auto"/>
              </w:rPr>
            </w:pPr>
            <w:r>
              <w:rPr>
                <w:rFonts w:ascii="Arial" w:cs="Arial" w:eastAsia="Arial" w:hAnsi="Arial"/>
                <w:sz w:val="16"/>
                <w:szCs w:val="16"/>
                <w:color w:val="auto"/>
              </w:rPr>
              <w:t>Net income per</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9"/>
        </w:trPr>
        <w:tc>
          <w:tcPr>
            <w:tcW w:w="1740" w:type="dxa"/>
            <w:vAlign w:val="bottom"/>
            <w:gridSpan w:val="2"/>
          </w:tcPr>
          <w:p>
            <w:pPr>
              <w:ind w:left="140"/>
              <w:spacing w:after="0"/>
              <w:rPr>
                <w:sz w:val="20"/>
                <w:szCs w:val="20"/>
                <w:color w:val="auto"/>
              </w:rPr>
            </w:pPr>
            <w:r>
              <w:rPr>
                <w:rFonts w:ascii="Arial" w:cs="Arial" w:eastAsia="Arial" w:hAnsi="Arial"/>
                <w:sz w:val="16"/>
                <w:szCs w:val="16"/>
                <w:color w:val="auto"/>
              </w:rPr>
              <w:t>share —</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6"/>
        </w:trPr>
        <w:tc>
          <w:tcPr>
            <w:tcW w:w="17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0.05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97"/>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0.55</w:t>
            </w:r>
          </w:p>
        </w:tc>
        <w:tc>
          <w:tcPr>
            <w:tcW w:w="1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1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0.35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2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0.77</w:t>
            </w:r>
          </w:p>
        </w:tc>
        <w:tc>
          <w:tcPr>
            <w:tcW w:w="200" w:type="dxa"/>
            <w:vAlign w:val="bottom"/>
            <w:shd w:val="clear" w:color="auto" w:fill="CCEEFF"/>
          </w:tcPr>
          <w:p>
            <w:pPr>
              <w:spacing w:after="0"/>
              <w:rPr>
                <w:sz w:val="17"/>
                <w:szCs w:val="17"/>
                <w:color w:val="auto"/>
              </w:rPr>
            </w:pPr>
          </w:p>
        </w:tc>
      </w:tr>
      <w:tr>
        <w:trPr>
          <w:trHeight w:val="203"/>
        </w:trPr>
        <w:tc>
          <w:tcPr>
            <w:tcW w:w="1740" w:type="dxa"/>
            <w:vAlign w:val="bottom"/>
            <w:gridSpan w:val="2"/>
          </w:tcPr>
          <w:p>
            <w:pPr>
              <w:ind w:left="240"/>
              <w:spacing w:after="0"/>
              <w:rPr>
                <w:sz w:val="20"/>
                <w:szCs w:val="20"/>
                <w:color w:val="auto"/>
              </w:rPr>
            </w:pPr>
            <w:r>
              <w:rPr>
                <w:rFonts w:ascii="Arial" w:cs="Arial" w:eastAsia="Arial" w:hAnsi="Arial"/>
                <w:sz w:val="16"/>
                <w:szCs w:val="16"/>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40"/>
              <w:spacing w:after="0"/>
              <w:rPr>
                <w:sz w:val="20"/>
                <w:szCs w:val="20"/>
                <w:color w:val="auto"/>
              </w:rPr>
            </w:pPr>
            <w:r>
              <w:rPr>
                <w:rFonts w:ascii="Arial" w:cs="Arial" w:eastAsia="Arial" w:hAnsi="Arial"/>
                <w:sz w:val="16"/>
                <w:szCs w:val="16"/>
                <w:color w:val="auto"/>
              </w:rPr>
              <w:t>0.05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0.05</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0.54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0.53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0.35</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6"/>
                <w:szCs w:val="16"/>
                <w:color w:val="auto"/>
              </w:rPr>
              <w:t>0.34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0.75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0.75</w:t>
            </w:r>
          </w:p>
        </w:tc>
        <w:tc>
          <w:tcPr>
            <w:tcW w:w="200" w:type="dxa"/>
            <w:vAlign w:val="bottom"/>
          </w:tcPr>
          <w:p>
            <w:pPr>
              <w:spacing w:after="0"/>
              <w:rPr>
                <w:sz w:val="17"/>
                <w:szCs w:val="17"/>
                <w:color w:val="auto"/>
              </w:rPr>
            </w:pPr>
          </w:p>
        </w:tc>
      </w:tr>
      <w:tr>
        <w:trPr>
          <w:trHeight w:val="193"/>
        </w:trPr>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Shares outstanding —</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12"/>
        </w:trPr>
        <w:tc>
          <w:tcPr>
            <w:tcW w:w="17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98,377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98,377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98,704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98,704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99,072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99,072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99,699</w:t>
            </w:r>
          </w:p>
        </w:tc>
        <w:tc>
          <w:tcPr>
            <w:tcW w:w="200" w:type="dxa"/>
            <w:vAlign w:val="bottom"/>
            <w:shd w:val="clear" w:color="auto" w:fill="CCEEFF"/>
          </w:tcPr>
          <w:p>
            <w:pPr>
              <w:spacing w:after="0"/>
              <w:rPr>
                <w:sz w:val="18"/>
                <w:szCs w:val="18"/>
                <w:color w:val="auto"/>
              </w:rPr>
            </w:pPr>
          </w:p>
        </w:tc>
      </w:tr>
      <w:tr>
        <w:trPr>
          <w:trHeight w:val="193"/>
        </w:trPr>
        <w:tc>
          <w:tcPr>
            <w:tcW w:w="1740" w:type="dxa"/>
            <w:vAlign w:val="bottom"/>
            <w:gridSpan w:val="2"/>
          </w:tcPr>
          <w:p>
            <w:pPr>
              <w:spacing w:after="0"/>
              <w:rPr>
                <w:sz w:val="20"/>
                <w:szCs w:val="20"/>
                <w:color w:val="auto"/>
              </w:rPr>
            </w:pPr>
            <w:r>
              <w:rPr>
                <w:rFonts w:ascii="Arial" w:cs="Arial" w:eastAsia="Arial" w:hAnsi="Arial"/>
                <w:sz w:val="16"/>
                <w:szCs w:val="16"/>
                <w:color w:val="auto"/>
              </w:rPr>
              <w:t>Shares outstanding —</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6"/>
        </w:trPr>
        <w:tc>
          <w:tcPr>
            <w:tcW w:w="1740" w:type="dxa"/>
            <w:vAlign w:val="bottom"/>
            <w:gridSpan w:val="2"/>
          </w:tcPr>
          <w:p>
            <w:pPr>
              <w:ind w:left="140"/>
              <w:spacing w:after="0"/>
              <w:rPr>
                <w:sz w:val="20"/>
                <w:szCs w:val="20"/>
                <w:color w:val="auto"/>
              </w:rPr>
            </w:pPr>
            <w:r>
              <w:rPr>
                <w:rFonts w:ascii="Arial" w:cs="Arial" w:eastAsia="Arial" w:hAnsi="Arial"/>
                <w:sz w:val="16"/>
                <w:szCs w:val="16"/>
                <w:color w:val="auto"/>
              </w:rPr>
              <w:t>Diluted</w:t>
            </w:r>
          </w:p>
        </w:tc>
        <w:tc>
          <w:tcPr>
            <w:tcW w:w="80" w:type="dxa"/>
            <w:vAlign w:val="bottom"/>
          </w:tcPr>
          <w:p>
            <w:pPr>
              <w:spacing w:after="0"/>
              <w:rPr>
                <w:sz w:val="17"/>
                <w:szCs w:val="17"/>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6"/>
                <w:szCs w:val="16"/>
                <w:color w:val="auto"/>
              </w:rPr>
              <w:t>99,544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99,544</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100,781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100,781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101,291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6"/>
                <w:szCs w:val="16"/>
                <w:color w:val="auto"/>
              </w:rPr>
              <w:t>101,291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102,265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102,265</w:t>
            </w:r>
          </w:p>
        </w:tc>
        <w:tc>
          <w:tcPr>
            <w:tcW w:w="200" w:type="dxa"/>
            <w:vAlign w:val="bottom"/>
          </w:tcPr>
          <w:p>
            <w:pPr>
              <w:spacing w:after="0"/>
              <w:rPr>
                <w:sz w:val="17"/>
                <w:szCs w:val="17"/>
                <w:color w:val="auto"/>
              </w:rPr>
            </w:pPr>
          </w:p>
        </w:tc>
      </w:tr>
    </w:tbl>
    <w:p>
      <w:pPr>
        <w:spacing w:after="0" w:line="204" w:lineRule="exact"/>
        <w:rPr>
          <w:sz w:val="20"/>
          <w:szCs w:val="20"/>
          <w:color w:val="auto"/>
        </w:rPr>
      </w:pPr>
    </w:p>
    <w:p>
      <w:pPr>
        <w:ind w:left="580" w:hanging="572"/>
        <w:spacing w:after="0"/>
        <w:tabs>
          <w:tab w:leader="none" w:pos="5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On May 23, 2005, the Company entered into a definitive agreement to acquire from Reebok International, Ltd all the issued and outstanding shares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capital stock of Ralph Lauren Footwear Co., Inc, its global licensee for men’s, women’s and children’s footwear, as well as certain foreign assets owned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affiliates of Reebok International Ltd (“the Footwear Business”). The purchase price for the acquisition of the Footwear Business will be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$110 million in cash payable at closing, subject to closing adjustments. Payment of the Purchase Price will be funded by cash on hand and lines of credit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required. In addition, the Footwear Licensee and certain of its affiliates have entered into a transition services agreement with the Company to provide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variety of operation, financial and information systems services over a period of twelve to eighteen months.</w:t>
      </w:r>
    </w:p>
    <w:p>
      <w:pPr>
        <w:spacing w:after="0" w:line="103" w:lineRule="exact"/>
        <w:rPr>
          <w:sz w:val="20"/>
          <w:szCs w:val="20"/>
          <w:color w:val="auto"/>
        </w:rPr>
      </w:pPr>
    </w:p>
    <w:p>
      <w:pPr>
        <w:ind w:right="200" w:firstLine="267"/>
        <w:spacing w:after="0" w:line="264" w:lineRule="auto"/>
        <w:rPr>
          <w:sz w:val="20"/>
          <w:szCs w:val="20"/>
          <w:color w:val="auto"/>
        </w:rPr>
      </w:pPr>
      <w:r>
        <w:rPr>
          <w:rFonts w:ascii="Arial" w:cs="Arial" w:eastAsia="Arial" w:hAnsi="Arial"/>
          <w:sz w:val="18"/>
          <w:szCs w:val="18"/>
          <w:color w:val="auto"/>
        </w:rPr>
        <w:t>The closing of the proposed transaction is subject to customary conditions, including the receipt of certain third party consents and the expiration or termination of the waiting period under the Hart-Scott-Rodino Antitrust Improvements Act of 1976. The closing of the transaction is anticipated to occur in July 2005.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POLO RALPH LAUREN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Balance at</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ind w:left="20"/>
              <w:spacing w:after="0"/>
              <w:rPr>
                <w:sz w:val="20"/>
                <w:szCs w:val="20"/>
                <w:color w:val="auto"/>
              </w:rPr>
            </w:pPr>
            <w:r>
              <w:rPr>
                <w:rFonts w:ascii="Arial" w:cs="Arial" w:eastAsia="Arial" w:hAnsi="Arial"/>
                <w:sz w:val="14"/>
                <w:szCs w:val="14"/>
                <w:b w:val="1"/>
                <w:bCs w:val="1"/>
                <w:color w:val="auto"/>
              </w:rPr>
              <w:t>Charge to</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633"/>
              <w:spacing w:after="0"/>
              <w:rPr>
                <w:sz w:val="20"/>
                <w:szCs w:val="20"/>
                <w:color w:val="auto"/>
              </w:rPr>
            </w:pPr>
            <w:r>
              <w:rPr>
                <w:rFonts w:ascii="Arial" w:cs="Arial" w:eastAsia="Arial" w:hAnsi="Arial"/>
                <w:sz w:val="14"/>
                <w:szCs w:val="14"/>
                <w:b w:val="1"/>
                <w:bCs w:val="1"/>
                <w:color w:val="auto"/>
                <w:w w:val="95"/>
              </w:rPr>
              <w:t>Charge</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Foreign</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2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Beginning</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Costs and</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613"/>
              <w:spacing w:after="0" w:line="149" w:lineRule="exact"/>
              <w:rPr>
                <w:sz w:val="20"/>
                <w:szCs w:val="20"/>
                <w:color w:val="auto"/>
              </w:rPr>
            </w:pPr>
            <w:r>
              <w:rPr>
                <w:rFonts w:ascii="Arial" w:cs="Arial" w:eastAsia="Arial" w:hAnsi="Arial"/>
                <w:sz w:val="14"/>
                <w:szCs w:val="14"/>
                <w:b w:val="1"/>
                <w:bCs w:val="1"/>
                <w:color w:val="auto"/>
                <w:w w:val="95"/>
              </w:rPr>
              <w:t>to Other</w:t>
            </w:r>
          </w:p>
        </w:tc>
        <w:tc>
          <w:tcPr>
            <w:tcW w:w="100" w:type="dxa"/>
            <w:vAlign w:val="bottom"/>
          </w:tcPr>
          <w:p>
            <w:pPr>
              <w:spacing w:after="0"/>
              <w:rPr>
                <w:sz w:val="12"/>
                <w:szCs w:val="12"/>
                <w:color w:val="auto"/>
              </w:rPr>
            </w:pPr>
          </w:p>
        </w:tc>
        <w:tc>
          <w:tcPr>
            <w:tcW w:w="140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89"/>
              </w:rPr>
              <w:t>Deductions</w:t>
            </w: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Currency</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at End</w:t>
            </w:r>
          </w:p>
        </w:tc>
        <w:tc>
          <w:tcPr>
            <w:tcW w:w="0" w:type="dxa"/>
            <w:vAlign w:val="bottom"/>
          </w:tcPr>
          <w:p>
            <w:pPr>
              <w:spacing w:after="0"/>
              <w:rPr>
                <w:sz w:val="1"/>
                <w:szCs w:val="1"/>
                <w:color w:val="auto"/>
              </w:rPr>
            </w:pPr>
          </w:p>
        </w:tc>
      </w:tr>
      <w:tr>
        <w:trPr>
          <w:trHeight w:val="171"/>
        </w:trPr>
        <w:tc>
          <w:tcPr>
            <w:tcW w:w="25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of Year</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633"/>
              <w:spacing w:after="0"/>
              <w:rPr>
                <w:sz w:val="20"/>
                <w:szCs w:val="20"/>
                <w:color w:val="auto"/>
              </w:rPr>
            </w:pPr>
            <w:r>
              <w:rPr>
                <w:rFonts w:ascii="Arial" w:cs="Arial" w:eastAsia="Arial" w:hAnsi="Arial"/>
                <w:sz w:val="14"/>
                <w:szCs w:val="14"/>
                <w:b w:val="1"/>
                <w:bCs w:val="1"/>
                <w:color w:val="auto"/>
                <w:w w:val="91"/>
              </w:rPr>
              <w:t>Accounts(a)</w:t>
            </w:r>
          </w:p>
        </w:tc>
        <w:tc>
          <w:tcPr>
            <w:tcW w:w="1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Translation</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of Year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(In</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w w:val="74"/>
              </w:rPr>
              <w:t>thousands)</w:t>
            </w: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April 2, 2005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w w:val="97"/>
              </w:rPr>
              <w:t>Allowance for doubtful accounts</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7,023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6,020</w:t>
            </w:r>
          </w:p>
        </w:tc>
        <w:tc>
          <w:tcPr>
            <w:tcW w:w="6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73"/>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2,119(b)</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117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11,041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sales discounts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90,269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73"/>
              <w:spacing w:after="0"/>
              <w:rPr>
                <w:sz w:val="20"/>
                <w:szCs w:val="20"/>
                <w:color w:val="auto"/>
              </w:rPr>
            </w:pPr>
            <w:r>
              <w:rPr>
                <w:rFonts w:ascii="Arial" w:cs="Arial" w:eastAsia="Arial" w:hAnsi="Arial"/>
                <w:sz w:val="18"/>
                <w:szCs w:val="18"/>
                <w:color w:val="auto"/>
              </w:rPr>
              <w:t>265,340</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256,730(c)</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97,292</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6,020</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265,340</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258,849</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111,042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April 3, 2004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w w:val="97"/>
              </w:rPr>
              <w:t>Allowance for doubtful accounts</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6,394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2,633</w:t>
            </w:r>
          </w:p>
        </w:tc>
        <w:tc>
          <w:tcPr>
            <w:tcW w:w="6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73"/>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2,004(b)</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sales discounts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48,432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73"/>
              <w:spacing w:after="0"/>
              <w:rPr>
                <w:sz w:val="20"/>
                <w:szCs w:val="20"/>
                <w:color w:val="auto"/>
              </w:rPr>
            </w:pPr>
            <w:r>
              <w:rPr>
                <w:rFonts w:ascii="Arial" w:cs="Arial" w:eastAsia="Arial" w:hAnsi="Arial"/>
                <w:sz w:val="18"/>
                <w:szCs w:val="18"/>
                <w:color w:val="auto"/>
              </w:rPr>
              <w:t>213,645</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171,808(c)</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90,269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54,826</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2,633</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213,645</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173,812</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97,292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March 29, 2003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w w:val="97"/>
              </w:rPr>
              <w:t>Allowance for doubtful accounts</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5,091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1,760</w:t>
            </w:r>
          </w:p>
        </w:tc>
        <w:tc>
          <w:tcPr>
            <w:tcW w:w="6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73"/>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457(b)</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sales discounts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64,161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73"/>
              <w:spacing w:after="0"/>
              <w:rPr>
                <w:sz w:val="20"/>
                <w:szCs w:val="20"/>
                <w:color w:val="auto"/>
              </w:rPr>
            </w:pPr>
            <w:r>
              <w:rPr>
                <w:rFonts w:ascii="Arial" w:cs="Arial" w:eastAsia="Arial" w:hAnsi="Arial"/>
                <w:sz w:val="18"/>
                <w:szCs w:val="18"/>
                <w:color w:val="auto"/>
              </w:rPr>
              <w:t>129,009</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144,738(c)</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48,432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69,252</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1,760</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129,009</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145,195</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54,826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Reserves and allowances recorded as a reduction of net sales.</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Accounts written-off as uncollectible.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End of season customer allowances, operational chargebacks and returns credited against customers accounts.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19"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u w:val="single" w:color="auto"/>
          <w:color w:val="auto"/>
        </w:rPr>
        <w:t>EXECUTION COPY</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POLO RALPH LAUREN CORPORATION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NONQUALIFIED STOCK OPTION AGREEMENT</w:t>
      </w:r>
    </w:p>
    <w:p>
      <w:pPr>
        <w:spacing w:after="0" w:line="202" w:lineRule="exact"/>
        <w:rPr>
          <w:sz w:val="20"/>
          <w:szCs w:val="20"/>
          <w:color w:val="auto"/>
        </w:rPr>
      </w:pPr>
    </w:p>
    <w:p>
      <w:pPr>
        <w:ind w:right="960" w:firstLine="222"/>
        <w:spacing w:after="0" w:line="277" w:lineRule="auto"/>
        <w:rPr>
          <w:sz w:val="20"/>
          <w:szCs w:val="20"/>
          <w:color w:val="auto"/>
        </w:rPr>
      </w:pPr>
      <w:r>
        <w:rPr>
          <w:rFonts w:ascii="Arial" w:cs="Arial" w:eastAsia="Arial" w:hAnsi="Arial"/>
          <w:sz w:val="18"/>
          <w:szCs w:val="18"/>
          <w:color w:val="auto"/>
        </w:rPr>
        <w:t>THIS AGREEMENT (the “Agreement”), is made effective as of the 8th day of June, 2004, (the “Date of Grant”), between Polo Ralph Lauren Corporation, a Delaware corporation (the “Company”), and Mr. Ralph Lauren (the “Participant”):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r>
        <w:rPr>
          <w:rFonts w:ascii="Arial" w:cs="Arial" w:eastAsia="Arial" w:hAnsi="Arial"/>
          <w:sz w:val="18"/>
          <w:szCs w:val="18"/>
          <w:color w:val="auto"/>
        </w:rPr>
        <w:t>:</w:t>
      </w:r>
    </w:p>
    <w:p>
      <w:pPr>
        <w:spacing w:after="0" w:line="185" w:lineRule="exact"/>
        <w:rPr>
          <w:sz w:val="20"/>
          <w:szCs w:val="20"/>
          <w:color w:val="auto"/>
        </w:rPr>
      </w:pPr>
    </w:p>
    <w:p>
      <w:pPr>
        <w:ind w:right="180" w:firstLine="447"/>
        <w:spacing w:after="0" w:line="264" w:lineRule="auto"/>
        <w:rPr>
          <w:sz w:val="20"/>
          <w:szCs w:val="20"/>
          <w:color w:val="auto"/>
        </w:rPr>
      </w:pPr>
      <w:r>
        <w:rPr>
          <w:rFonts w:ascii="Arial" w:cs="Arial" w:eastAsia="Arial" w:hAnsi="Arial"/>
          <w:sz w:val="18"/>
          <w:szCs w:val="18"/>
          <w:color w:val="auto"/>
        </w:rPr>
        <w:t>WHEREAS, the Company has adopted the Polo Ralph Lauren Corporation 1997 Long-Term Stock Incentive Plan, as amended from time to time (the “Plan”), which Plan is incorporated herein by reference and made a part of this Agreement. Capitalized terms not otherwise defined herein shall have the same meanings as in the Plan; and</w:t>
      </w:r>
    </w:p>
    <w:p>
      <w:pPr>
        <w:spacing w:after="0" w:line="154" w:lineRule="exact"/>
        <w:rPr>
          <w:sz w:val="20"/>
          <w:szCs w:val="20"/>
          <w:color w:val="auto"/>
        </w:rPr>
      </w:pPr>
    </w:p>
    <w:p>
      <w:pPr>
        <w:ind w:right="500" w:firstLine="447"/>
        <w:spacing w:after="0" w:line="264" w:lineRule="auto"/>
        <w:rPr>
          <w:sz w:val="20"/>
          <w:szCs w:val="20"/>
          <w:color w:val="auto"/>
        </w:rPr>
      </w:pPr>
      <w:r>
        <w:rPr>
          <w:rFonts w:ascii="Arial" w:cs="Arial" w:eastAsia="Arial" w:hAnsi="Arial"/>
          <w:sz w:val="18"/>
          <w:szCs w:val="18"/>
          <w:color w:val="auto"/>
        </w:rPr>
        <w:t>WHEREAS, the Company and the Participant have entered into an Amended and Restated Employment Agreement dated June 23, 2003 (such agreement, as amended from time to time, the “Employment Agreement”), which contemplates that the Committee will grant the Option (as hereinafter defined) to the Participant; and</w:t>
      </w:r>
    </w:p>
    <w:p>
      <w:pPr>
        <w:spacing w:after="0" w:line="141" w:lineRule="exact"/>
        <w:rPr>
          <w:sz w:val="20"/>
          <w:szCs w:val="20"/>
          <w:color w:val="auto"/>
        </w:rPr>
      </w:pPr>
    </w:p>
    <w:p>
      <w:pPr>
        <w:ind w:right="220" w:firstLine="447"/>
        <w:spacing w:after="0" w:line="277" w:lineRule="auto"/>
        <w:rPr>
          <w:sz w:val="20"/>
          <w:szCs w:val="20"/>
          <w:color w:val="auto"/>
        </w:rPr>
      </w:pPr>
      <w:r>
        <w:rPr>
          <w:rFonts w:ascii="Arial" w:cs="Arial" w:eastAsia="Arial" w:hAnsi="Arial"/>
          <w:sz w:val="18"/>
          <w:szCs w:val="18"/>
          <w:color w:val="auto"/>
        </w:rPr>
        <w:t>WHEREAS, the Committee has determined that it would be in the best interests of the Company and its stockholders to grant the option provided for herein (the “Option”) to the Participant pursuant to the Plan and the terms set forth herein.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covenants hereinafter set forth, the parties hereto agree as follows:</w:t>
      </w:r>
    </w:p>
    <w:p>
      <w:pPr>
        <w:spacing w:after="0" w:line="198" w:lineRule="exact"/>
        <w:rPr>
          <w:sz w:val="20"/>
          <w:szCs w:val="20"/>
          <w:color w:val="auto"/>
        </w:rPr>
      </w:pPr>
    </w:p>
    <w:p>
      <w:pPr>
        <w:ind w:right="40" w:firstLine="233"/>
        <w:spacing w:after="0" w:line="257" w:lineRule="auto"/>
        <w:tabs>
          <w:tab w:leader="none" w:pos="405"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Grant of the Option</w:t>
      </w:r>
      <w:r>
        <w:rPr>
          <w:rFonts w:ascii="Arial" w:cs="Arial" w:eastAsia="Arial" w:hAnsi="Arial"/>
          <w:sz w:val="18"/>
          <w:szCs w:val="18"/>
          <w:color w:val="auto"/>
        </w:rPr>
        <w:t>. The Company hereby grants to the Participant the right and option to purchase, on the terms and conditions hereinafter set forth, all or any part of an aggregate of 150,000 shares of Class A Common Stock of the Company (the “Shares”)(the “Option”), subject to adjustment as set forth in the Plan. The purchase price of the Shares subject to the Option shall be $33.12 per Share (the “Exercise Price”), which amount is equal to the Fair Market Value on the Date of Grant. The Option is intended to be a non-qualified stock option, and is not intended to be treated as an option that complies with Section 422 of the Internal Revenue Code of 1986, as amended (the “Code”).</w:t>
      </w:r>
    </w:p>
    <w:p>
      <w:pPr>
        <w:spacing w:after="0" w:line="147" w:lineRule="exact"/>
        <w:rPr>
          <w:rFonts w:ascii="Arial" w:cs="Arial" w:eastAsia="Arial" w:hAnsi="Arial"/>
          <w:sz w:val="18"/>
          <w:szCs w:val="18"/>
          <w:color w:val="auto"/>
        </w:rPr>
      </w:pPr>
    </w:p>
    <w:p>
      <w:pPr>
        <w:ind w:left="420" w:hanging="187"/>
        <w:spacing w:after="0"/>
        <w:tabs>
          <w:tab w:leader="none" w:pos="42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Vesting and Exercisability</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right="200" w:firstLine="458"/>
        <w:spacing w:after="0" w:line="277" w:lineRule="auto"/>
        <w:tabs>
          <w:tab w:leader="none" w:pos="695" w:val="left"/>
        </w:tabs>
        <w:numPr>
          <w:ilvl w:val="1"/>
          <w:numId w:val="68"/>
        </w:numPr>
        <w:rPr>
          <w:rFonts w:ascii="Arial" w:cs="Arial" w:eastAsia="Arial" w:hAnsi="Arial"/>
          <w:sz w:val="18"/>
          <w:szCs w:val="18"/>
          <w:color w:val="auto"/>
        </w:rPr>
      </w:pPr>
      <w:r>
        <w:rPr>
          <w:rFonts w:ascii="Arial" w:cs="Arial" w:eastAsia="Arial" w:hAnsi="Arial"/>
          <w:sz w:val="18"/>
          <w:szCs w:val="18"/>
          <w:color w:val="auto"/>
        </w:rPr>
        <w:t>Subject to the Participant’s continued employment with the Company, the Option shall vest and become exercisable with respect to one third (1/3) of the Shares initially covered by the Option on each of the first, second and third anniversaries of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8" w:name="page109"/>
    <w:bookmarkEnd w:id="108"/>
    <w:p>
      <w:pPr>
        <w:ind w:right="380"/>
        <w:spacing w:after="0" w:line="277" w:lineRule="auto"/>
        <w:rPr>
          <w:sz w:val="20"/>
          <w:szCs w:val="20"/>
          <w:color w:val="auto"/>
        </w:rPr>
      </w:pPr>
      <w:r>
        <w:rPr>
          <w:rFonts w:ascii="Arial" w:cs="Arial" w:eastAsia="Arial" w:hAnsi="Arial"/>
          <w:sz w:val="18"/>
          <w:szCs w:val="18"/>
          <w:color w:val="auto"/>
        </w:rPr>
        <w:t>(each, an “Option Vesting Date”). At any given time, the portion of the Option that has become vested and exercisable as described above (or pursuant to Sections 2(c) below) is hereinafter referred to as the “Vested Portion.”</w:t>
      </w:r>
    </w:p>
    <w:p>
      <w:pPr>
        <w:spacing w:after="0" w:line="143" w:lineRule="exact"/>
        <w:rPr>
          <w:sz w:val="20"/>
          <w:szCs w:val="20"/>
          <w:color w:val="auto"/>
        </w:rPr>
      </w:pPr>
    </w:p>
    <w:p>
      <w:pPr>
        <w:ind w:firstLine="458"/>
        <w:spacing w:after="0" w:line="272" w:lineRule="auto"/>
        <w:tabs>
          <w:tab w:leader="none" w:pos="705" w:val="left"/>
        </w:tabs>
        <w:numPr>
          <w:ilvl w:val="1"/>
          <w:numId w:val="69"/>
        </w:numPr>
        <w:rPr>
          <w:rFonts w:ascii="Arial" w:cs="Arial" w:eastAsia="Arial" w:hAnsi="Arial"/>
          <w:sz w:val="17"/>
          <w:szCs w:val="17"/>
          <w:color w:val="auto"/>
        </w:rPr>
      </w:pPr>
      <w:r>
        <w:rPr>
          <w:rFonts w:ascii="Arial" w:cs="Arial" w:eastAsia="Arial" w:hAnsi="Arial"/>
          <w:sz w:val="17"/>
          <w:szCs w:val="17"/>
          <w:color w:val="auto"/>
        </w:rPr>
        <w:t>If the Company shall terminate the Participant’s employment with the Company without Cause (as defined below), if the Company elects not to extend the Term (as defined below) or if the Participant terminates his employment with the Company for Good Reason (as defined below), then any unvested portion of the Option on the last day of the Participant’s employment with the Company (the “Termination Date”) shall continue to vest in accordance with the vesting schedule set forth in Section 2(a) hereof, subject to Participant’s continued compliance with Section 8 of the Employment Agreement (relating to non-solicitation and non-competition). In addition, any Vested Portion (and any other portion that vests as described above in this Section 2(b)) will remain exercisable until the later to occur of (i) one (1) year from the Termination Date or (ii) thirty (30) days from the date such portion of the Option becomes vested and exercisable, but in no event later than the Expiration Date (as defined below) of the Option.</w:t>
      </w:r>
    </w:p>
    <w:p>
      <w:pPr>
        <w:spacing w:after="0" w:line="137" w:lineRule="exact"/>
        <w:rPr>
          <w:rFonts w:ascii="Arial" w:cs="Arial" w:eastAsia="Arial" w:hAnsi="Arial"/>
          <w:sz w:val="17"/>
          <w:szCs w:val="17"/>
          <w:color w:val="auto"/>
        </w:rPr>
      </w:pPr>
    </w:p>
    <w:p>
      <w:pPr>
        <w:ind w:right="80" w:firstLine="458"/>
        <w:spacing w:after="0" w:line="264" w:lineRule="auto"/>
        <w:tabs>
          <w:tab w:leader="none" w:pos="695" w:val="left"/>
        </w:tabs>
        <w:numPr>
          <w:ilvl w:val="1"/>
          <w:numId w:val="69"/>
        </w:numPr>
        <w:rPr>
          <w:rFonts w:ascii="Arial" w:cs="Arial" w:eastAsia="Arial" w:hAnsi="Arial"/>
          <w:sz w:val="18"/>
          <w:szCs w:val="18"/>
          <w:color w:val="auto"/>
        </w:rPr>
      </w:pPr>
      <w:r>
        <w:rPr>
          <w:rFonts w:ascii="Arial" w:cs="Arial" w:eastAsia="Arial" w:hAnsi="Arial"/>
          <w:sz w:val="18"/>
          <w:szCs w:val="18"/>
          <w:color w:val="auto"/>
        </w:rPr>
        <w:t>If the Participant’s employment is terminated due to his death or Disability (as defined below), then any unvested portion of the Option held by the Participant on the Termination Date will vest immediately and remain exercisable for three (3) years from the Termination Date, but in no event later than the Expiration Date (as defined below) of the Option.</w:t>
      </w:r>
    </w:p>
    <w:p>
      <w:pPr>
        <w:spacing w:after="0" w:line="140" w:lineRule="exact"/>
        <w:rPr>
          <w:rFonts w:ascii="Arial" w:cs="Arial" w:eastAsia="Arial" w:hAnsi="Arial"/>
          <w:sz w:val="18"/>
          <w:szCs w:val="18"/>
          <w:color w:val="auto"/>
        </w:rPr>
      </w:pPr>
    </w:p>
    <w:p>
      <w:pPr>
        <w:ind w:right="40" w:firstLine="458"/>
        <w:spacing w:after="0" w:line="308" w:lineRule="auto"/>
        <w:tabs>
          <w:tab w:leader="none" w:pos="705" w:val="left"/>
        </w:tabs>
        <w:numPr>
          <w:ilvl w:val="1"/>
          <w:numId w:val="69"/>
        </w:numPr>
        <w:rPr>
          <w:rFonts w:ascii="Arial" w:cs="Arial" w:eastAsia="Arial" w:hAnsi="Arial"/>
          <w:sz w:val="17"/>
          <w:szCs w:val="17"/>
          <w:color w:val="auto"/>
        </w:rPr>
      </w:pPr>
      <w:r>
        <w:rPr>
          <w:rFonts w:ascii="Arial" w:cs="Arial" w:eastAsia="Arial" w:hAnsi="Arial"/>
          <w:sz w:val="17"/>
          <w:szCs w:val="17"/>
          <w:color w:val="auto"/>
        </w:rPr>
        <w:t>If the Participant’s employment with the Company is terminated by the Company for Cause, by the Participant other than for Good Reason, or if the Participant elects not to extend the Term, then any portion of the Option that has not been exercised as of the Termination Date shall be forfeited.</w:t>
      </w:r>
    </w:p>
    <w:p>
      <w:pPr>
        <w:spacing w:after="0" w:line="119" w:lineRule="exact"/>
        <w:rPr>
          <w:rFonts w:ascii="Arial" w:cs="Arial" w:eastAsia="Arial" w:hAnsi="Arial"/>
          <w:sz w:val="17"/>
          <w:szCs w:val="17"/>
          <w:color w:val="auto"/>
        </w:rPr>
      </w:pPr>
    </w:p>
    <w:p>
      <w:pPr>
        <w:ind w:right="60" w:firstLine="458"/>
        <w:spacing w:after="0" w:line="342" w:lineRule="auto"/>
        <w:tabs>
          <w:tab w:leader="none" w:pos="695" w:val="left"/>
        </w:tabs>
        <w:numPr>
          <w:ilvl w:val="1"/>
          <w:numId w:val="69"/>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to the contrary, in the event of a Change of Control (as defined in the Plan) the Option shall, to the extent not then vested and not previously canceled, immediately become fully vested and exercisable as contemplated by Section 13 of the Plan.</w:t>
      </w:r>
    </w:p>
    <w:p>
      <w:pPr>
        <w:spacing w:after="0" w:line="83" w:lineRule="exact"/>
        <w:rPr>
          <w:rFonts w:ascii="Arial" w:cs="Arial" w:eastAsia="Arial" w:hAnsi="Arial"/>
          <w:sz w:val="16"/>
          <w:szCs w:val="16"/>
          <w:color w:val="auto"/>
        </w:rPr>
      </w:pPr>
    </w:p>
    <w:p>
      <w:pPr>
        <w:ind w:right="260" w:firstLine="458"/>
        <w:spacing w:after="0" w:line="277" w:lineRule="auto"/>
        <w:tabs>
          <w:tab w:leader="none" w:pos="675" w:val="left"/>
        </w:tabs>
        <w:numPr>
          <w:ilvl w:val="1"/>
          <w:numId w:val="69"/>
        </w:numPr>
        <w:rPr>
          <w:rFonts w:ascii="Arial" w:cs="Arial" w:eastAsia="Arial" w:hAnsi="Arial"/>
          <w:sz w:val="18"/>
          <w:szCs w:val="18"/>
          <w:color w:val="auto"/>
        </w:rPr>
      </w:pPr>
      <w:r>
        <w:rPr>
          <w:rFonts w:ascii="Arial" w:cs="Arial" w:eastAsia="Arial" w:hAnsi="Arial"/>
          <w:sz w:val="18"/>
          <w:szCs w:val="18"/>
          <w:color w:val="auto"/>
        </w:rPr>
        <w:t>For purposes of this Agreement, the terms “Cause,” “Term,” “Good Reason,” and “Disability” shall have the respective meanings specified in the Employment Agreement.</w:t>
      </w:r>
    </w:p>
    <w:p>
      <w:pPr>
        <w:spacing w:after="0" w:line="129" w:lineRule="exact"/>
        <w:rPr>
          <w:rFonts w:ascii="Arial" w:cs="Arial" w:eastAsia="Arial" w:hAnsi="Arial"/>
          <w:sz w:val="18"/>
          <w:szCs w:val="18"/>
          <w:color w:val="auto"/>
        </w:rPr>
      </w:pPr>
    </w:p>
    <w:p>
      <w:pPr>
        <w:ind w:left="420" w:hanging="187"/>
        <w:spacing w:after="0"/>
        <w:tabs>
          <w:tab w:leader="none" w:pos="42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right="40" w:firstLine="458"/>
        <w:spacing w:after="0" w:line="277" w:lineRule="auto"/>
        <w:tabs>
          <w:tab w:leader="none" w:pos="695"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Period of Exercise</w:t>
      </w:r>
      <w:r>
        <w:rPr>
          <w:rFonts w:ascii="Arial" w:cs="Arial" w:eastAsia="Arial" w:hAnsi="Arial"/>
          <w:sz w:val="18"/>
          <w:szCs w:val="18"/>
          <w:color w:val="auto"/>
        </w:rPr>
        <w:t>. Subject to the provisions of the Plan and this Agreement, the Participant may exercise all or any part of the Vested Portion of the Option at any time prior to the tenth anniversary of the Date of Grant (the “Expiration Date”).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9" w:name="page110"/>
    <w:bookmarkEnd w:id="109"/>
    <w:p>
      <w:pPr>
        <w:ind w:left="720" w:hanging="262"/>
        <w:spacing w:after="0"/>
        <w:tabs>
          <w:tab w:leader="none" w:pos="720"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right="20" w:firstLine="683"/>
        <w:spacing w:after="0" w:line="285" w:lineRule="auto"/>
        <w:tabs>
          <w:tab w:leader="none" w:pos="890" w:val="left"/>
        </w:tabs>
        <w:numPr>
          <w:ilvl w:val="2"/>
          <w:numId w:val="71"/>
        </w:numPr>
        <w:rPr>
          <w:rFonts w:ascii="Arial" w:cs="Arial" w:eastAsia="Arial" w:hAnsi="Arial"/>
          <w:sz w:val="16"/>
          <w:szCs w:val="16"/>
          <w:color w:val="auto"/>
        </w:rPr>
      </w:pPr>
      <w:r>
        <w:rPr>
          <w:rFonts w:ascii="Arial" w:cs="Arial" w:eastAsia="Arial" w:hAnsi="Arial"/>
          <w:sz w:val="16"/>
          <w:szCs w:val="16"/>
          <w:color w:val="auto"/>
        </w:rPr>
        <w:t xml:space="preserve">Subject to Section 3(a), the Vested Portion of the Option may be exercised by delivering to the Company at its principal office written notice of intent to so exercise or by delivering such notice to the Company by such other method as may be permitted by the Committee;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Option may be exercised with respect to whole Shares only. Such notice shall specify the number of Shares for which the Option is being exercised and shall be accompanied by payment in full of the Exercise Price. The payment of the Exercise Price may be made in cash, or its equivalent, or (x) by exchanging Shares owned by the Participant (which are not the subject of any pledge or other security interest and which have been owned by the Participant for at least</w:t>
      </w:r>
    </w:p>
    <w:p>
      <w:pPr>
        <w:spacing w:after="0" w:line="2" w:lineRule="exact"/>
        <w:rPr>
          <w:rFonts w:ascii="Arial" w:cs="Arial" w:eastAsia="Arial" w:hAnsi="Arial"/>
          <w:sz w:val="16"/>
          <w:szCs w:val="16"/>
          <w:color w:val="auto"/>
        </w:rPr>
      </w:pPr>
    </w:p>
    <w:p>
      <w:pPr>
        <w:ind w:right="180"/>
        <w:spacing w:after="0" w:line="295" w:lineRule="auto"/>
        <w:rPr>
          <w:rFonts w:ascii="Arial" w:cs="Arial" w:eastAsia="Arial" w:hAnsi="Arial"/>
          <w:sz w:val="16"/>
          <w:szCs w:val="16"/>
          <w:color w:val="auto"/>
        </w:rPr>
      </w:pPr>
      <w:r>
        <w:rPr>
          <w:rFonts w:ascii="Arial" w:cs="Arial" w:eastAsia="Arial" w:hAnsi="Arial"/>
          <w:sz w:val="16"/>
          <w:szCs w:val="16"/>
          <w:color w:val="auto"/>
        </w:rPr>
        <w:t>6 months) or (y) subject to such rules as may be established by the Committee and then only to the extent permitted by law, through delivery of irrevocable instructions to a broker to sell the Shares otherwise deliverable upon the exercise of the Option and to deliver promptly to the Company an amount equal to the aggregate exercise price, or by a combination of the foregoing, provided that the combined value of all cash and cash equivalents and the Fair Market Value of any such Shares so tendered to the Company as of the date of such tender is at least equal to such aggregate exercise price.</w:t>
      </w:r>
    </w:p>
    <w:p>
      <w:pPr>
        <w:spacing w:after="0" w:line="120" w:lineRule="exact"/>
        <w:rPr>
          <w:rFonts w:ascii="Arial" w:cs="Arial" w:eastAsia="Arial" w:hAnsi="Arial"/>
          <w:sz w:val="16"/>
          <w:szCs w:val="16"/>
          <w:color w:val="auto"/>
        </w:rPr>
      </w:pPr>
    </w:p>
    <w:p>
      <w:pPr>
        <w:ind w:firstLine="683"/>
        <w:spacing w:after="0" w:line="312" w:lineRule="auto"/>
        <w:tabs>
          <w:tab w:leader="none" w:pos="940" w:val="left"/>
        </w:tabs>
        <w:numPr>
          <w:ilvl w:val="2"/>
          <w:numId w:val="71"/>
        </w:numPr>
        <w:rPr>
          <w:rFonts w:ascii="Arial" w:cs="Arial" w:eastAsia="Arial" w:hAnsi="Arial"/>
          <w:sz w:val="16"/>
          <w:szCs w:val="16"/>
          <w:color w:val="auto"/>
        </w:rPr>
      </w:pPr>
      <w:r>
        <w:rPr>
          <w:rFonts w:ascii="Arial" w:cs="Arial" w:eastAsia="Arial" w:hAnsi="Arial"/>
          <w:sz w:val="16"/>
          <w:szCs w:val="16"/>
          <w:color w:val="auto"/>
        </w:rPr>
        <w:t>Notwithstanding any other provision of the Plan or this Agreement to the contrary, the Option may not be exercised prior to the completion of any registration or qualification of the Option or the Shares under applicable state and federal securities or other laws, or under any ruling or regulation of any governmental body or national securities exchange that the Committee shall in its sole discretion determine to be necessary or advisable.</w:t>
      </w:r>
    </w:p>
    <w:p>
      <w:pPr>
        <w:spacing w:after="0" w:line="106" w:lineRule="exact"/>
        <w:rPr>
          <w:rFonts w:ascii="Arial" w:cs="Arial" w:eastAsia="Arial" w:hAnsi="Arial"/>
          <w:sz w:val="16"/>
          <w:szCs w:val="16"/>
          <w:color w:val="auto"/>
        </w:rPr>
      </w:pPr>
    </w:p>
    <w:p>
      <w:pPr>
        <w:ind w:right="200" w:firstLine="683"/>
        <w:spacing w:after="0" w:line="312" w:lineRule="auto"/>
        <w:tabs>
          <w:tab w:leader="none" w:pos="990" w:val="left"/>
        </w:tabs>
        <w:numPr>
          <w:ilvl w:val="2"/>
          <w:numId w:val="71"/>
        </w:numPr>
        <w:rPr>
          <w:rFonts w:ascii="Arial" w:cs="Arial" w:eastAsia="Arial" w:hAnsi="Arial"/>
          <w:sz w:val="16"/>
          <w:szCs w:val="16"/>
          <w:color w:val="auto"/>
        </w:rPr>
      </w:pPr>
      <w:r>
        <w:rPr>
          <w:rFonts w:ascii="Arial" w:cs="Arial" w:eastAsia="Arial" w:hAnsi="Arial"/>
          <w:sz w:val="16"/>
          <w:szCs w:val="16"/>
          <w:color w:val="auto"/>
        </w:rPr>
        <w:t>Upon the Company’s determination that the Option has been validly exercised as to any of the Shares, the Company shall issue certificates in the Participant’s name for such Shares. However, the Company shall not be liable to the Participant for damages relating to any delays in issuing the certificates to him, any loss of the certificates, or any mistakes or errors in the issuance of the certificates or in the certificates themselves.</w:t>
      </w:r>
    </w:p>
    <w:p>
      <w:pPr>
        <w:spacing w:after="0" w:line="119" w:lineRule="exact"/>
        <w:rPr>
          <w:rFonts w:ascii="Arial" w:cs="Arial" w:eastAsia="Arial" w:hAnsi="Arial"/>
          <w:sz w:val="16"/>
          <w:szCs w:val="16"/>
          <w:color w:val="auto"/>
        </w:rPr>
      </w:pPr>
    </w:p>
    <w:p>
      <w:pPr>
        <w:jc w:val="center"/>
        <w:ind w:right="20" w:firstLine="233"/>
        <w:spacing w:after="0" w:line="312" w:lineRule="auto"/>
        <w:tabs>
          <w:tab w:leader="none" w:pos="405"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No Right to Continued Employment</w:t>
      </w:r>
      <w:r>
        <w:rPr>
          <w:rFonts w:ascii="Arial" w:cs="Arial" w:eastAsia="Arial" w:hAnsi="Arial"/>
          <w:sz w:val="16"/>
          <w:szCs w:val="16"/>
          <w:color w:val="auto"/>
        </w:rPr>
        <w:t>. Neither the Plan nor this Agreement shall be construed as giving the Participant the right to be retained in the employ of, or in any consulting relationship to, the Company or any Affiliate. Further, the Company or an Affiliate may at any time dismiss the Participant or discontinue any consulting relationship, free from any liability or any claim under the Plan or this Agreement, except as otherwise expressly provided herein.</w:t>
      </w:r>
    </w:p>
    <w:p>
      <w:pPr>
        <w:spacing w:after="0" w:line="106" w:lineRule="exact"/>
        <w:rPr>
          <w:rFonts w:ascii="Arial" w:cs="Arial" w:eastAsia="Arial" w:hAnsi="Arial"/>
          <w:sz w:val="16"/>
          <w:szCs w:val="16"/>
          <w:color w:val="auto"/>
        </w:rPr>
      </w:pPr>
    </w:p>
    <w:p>
      <w:pPr>
        <w:ind w:right="300" w:firstLine="233"/>
        <w:spacing w:after="0" w:line="279" w:lineRule="auto"/>
        <w:tabs>
          <w:tab w:leader="none" w:pos="405"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Legend on Certificates</w:t>
      </w:r>
      <w:r>
        <w:rPr>
          <w:rFonts w:ascii="Arial" w:cs="Arial" w:eastAsia="Arial" w:hAnsi="Arial"/>
          <w:sz w:val="17"/>
          <w:szCs w:val="17"/>
          <w:color w:val="auto"/>
        </w:rPr>
        <w:t>. The certificates representing the Shares purchased by exercise of the Option shall be subject to such stop transfer orders and other restrictions as the Committee may deem advisable under the Plan or the rules, regulations, and other requirements of the Securities and Exchange Commission, any stock exchange upon which such Shares are listed, and any applicable Federal or state laws, and the Committee may cause a legend or legends to be put on any such certificates to make appropriate reference to such restrictions.</w:t>
      </w:r>
    </w:p>
    <w:p>
      <w:pPr>
        <w:spacing w:after="0" w:line="130" w:lineRule="exact"/>
        <w:rPr>
          <w:rFonts w:ascii="Arial" w:cs="Arial" w:eastAsia="Arial" w:hAnsi="Arial"/>
          <w:sz w:val="17"/>
          <w:szCs w:val="17"/>
          <w:color w:val="auto"/>
        </w:rPr>
      </w:pPr>
    </w:p>
    <w:p>
      <w:pPr>
        <w:ind w:right="840" w:firstLine="233"/>
        <w:spacing w:after="0" w:line="277" w:lineRule="auto"/>
        <w:tabs>
          <w:tab w:leader="none" w:pos="405"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otherwise determined by the Committee pursuant to its authority under Section 14(a)(iii) of the Plan, the Option is nontransferable during the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Participant’s lifetime, except for transfers by the Participant to family members (or trusts for their benefit) pursuant to the terms of the Plan.</w:t>
      </w:r>
    </w:p>
    <w:p>
      <w:pPr>
        <w:spacing w:after="0" w:line="198" w:lineRule="exact"/>
        <w:rPr>
          <w:sz w:val="20"/>
          <w:szCs w:val="20"/>
          <w:color w:val="auto"/>
        </w:rPr>
      </w:pPr>
    </w:p>
    <w:p>
      <w:pPr>
        <w:ind w:left="420" w:hanging="187"/>
        <w:spacing w:after="0"/>
        <w:tabs>
          <w:tab w:leader="none" w:pos="42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right="400" w:firstLine="683"/>
        <w:spacing w:after="0" w:line="273" w:lineRule="auto"/>
        <w:tabs>
          <w:tab w:leader="none" w:pos="917" w:val="left"/>
        </w:tabs>
        <w:numPr>
          <w:ilvl w:val="1"/>
          <w:numId w:val="73"/>
        </w:numPr>
        <w:rPr>
          <w:rFonts w:ascii="Arial" w:cs="Arial" w:eastAsia="Arial" w:hAnsi="Arial"/>
          <w:sz w:val="17"/>
          <w:szCs w:val="17"/>
          <w:color w:val="auto"/>
        </w:rPr>
      </w:pPr>
      <w:r>
        <w:rPr>
          <w:rFonts w:ascii="Arial" w:cs="Arial" w:eastAsia="Arial" w:hAnsi="Arial"/>
          <w:sz w:val="17"/>
          <w:szCs w:val="17"/>
          <w:color w:val="auto"/>
        </w:rPr>
        <w:t>The Participant may be required to pay to the Company or any Affiliate and the Company or any Affiliate shall have the right and is hereby authorized to withhold from any payment due or transfer made under the Option or under the Plan or from any compensation or other amount owing to a Participant the amount (in cash, Shares, other securities, other Awards or other property) of any applicable federal, state or local income tax withholding requirements in respect of the Option, its exercise, or any payment or transfer under the Option or under the Plan and to take such other action as may be necessary in the opinion of the Company to satisfy all obligations for the payment of such taxes, provided, however, that in no event shall the amount so withheld by the Company exceed the minimum withholding rates required by applicable statutes.</w:t>
      </w:r>
    </w:p>
    <w:p>
      <w:pPr>
        <w:spacing w:after="0" w:line="137" w:lineRule="exact"/>
        <w:rPr>
          <w:rFonts w:ascii="Arial" w:cs="Arial" w:eastAsia="Arial" w:hAnsi="Arial"/>
          <w:sz w:val="17"/>
          <w:szCs w:val="17"/>
          <w:color w:val="auto"/>
        </w:rPr>
      </w:pPr>
    </w:p>
    <w:p>
      <w:pPr>
        <w:ind w:firstLine="683"/>
        <w:spacing w:after="0" w:line="291" w:lineRule="auto"/>
        <w:tabs>
          <w:tab w:leader="none" w:pos="927" w:val="left"/>
        </w:tabs>
        <w:numPr>
          <w:ilvl w:val="1"/>
          <w:numId w:val="73"/>
        </w:numPr>
        <w:rPr>
          <w:rFonts w:ascii="Arial" w:cs="Arial" w:eastAsia="Arial" w:hAnsi="Arial"/>
          <w:sz w:val="16"/>
          <w:szCs w:val="16"/>
          <w:color w:val="auto"/>
        </w:rPr>
      </w:pPr>
      <w:r>
        <w:rPr>
          <w:rFonts w:ascii="Arial" w:cs="Arial" w:eastAsia="Arial" w:hAnsi="Arial"/>
          <w:sz w:val="16"/>
          <w:szCs w:val="16"/>
          <w:color w:val="auto"/>
        </w:rPr>
        <w:t>Without limiting the generality of clause (a) above, the Participant may satisfy, in whole or in part, the foregoing withholding liability by delivery of Shares owned by the Participant (which are not subject to any pledge or other security interest and which have been owned by the Participant for at least</w:t>
      </w:r>
    </w:p>
    <w:p>
      <w:pPr>
        <w:ind w:right="340"/>
        <w:spacing w:after="0" w:line="261" w:lineRule="auto"/>
        <w:rPr>
          <w:rFonts w:ascii="Arial" w:cs="Arial" w:eastAsia="Arial" w:hAnsi="Arial"/>
          <w:sz w:val="16"/>
          <w:szCs w:val="16"/>
          <w:color w:val="auto"/>
        </w:rPr>
      </w:pPr>
      <w:r>
        <w:rPr>
          <w:rFonts w:ascii="Arial" w:cs="Arial" w:eastAsia="Arial" w:hAnsi="Arial"/>
          <w:sz w:val="18"/>
          <w:szCs w:val="18"/>
          <w:color w:val="auto"/>
        </w:rPr>
        <w:t>6 months) with a Fair Market Value equal to such withholding liability or by having the Company withhold from the number of Shares otherwise issuable pursuant to the exercise of the option a number of Shares with a Fair Market Value equal to such withholding liability.</w:t>
      </w:r>
    </w:p>
    <w:p>
      <w:pPr>
        <w:spacing w:after="0" w:line="156" w:lineRule="exact"/>
        <w:rPr>
          <w:rFonts w:ascii="Arial" w:cs="Arial" w:eastAsia="Arial" w:hAnsi="Arial"/>
          <w:sz w:val="16"/>
          <w:szCs w:val="16"/>
          <w:color w:val="auto"/>
        </w:rPr>
      </w:pPr>
    </w:p>
    <w:p>
      <w:pPr>
        <w:jc w:val="both"/>
        <w:ind w:right="740" w:firstLine="233"/>
        <w:spacing w:after="0" w:line="264" w:lineRule="auto"/>
        <w:tabs>
          <w:tab w:leader="none" w:pos="40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Upon the acquisition of any Shares pursuant to the exercise of the Option, the Participant will make or enter into such written representations, warranties and agreements as the Committee may reasonably request in order to comply with applicable securities laws or with this Agreement.</w:t>
      </w:r>
    </w:p>
    <w:p>
      <w:pPr>
        <w:spacing w:after="0" w:line="140" w:lineRule="exact"/>
        <w:rPr>
          <w:rFonts w:ascii="Arial" w:cs="Arial" w:eastAsia="Arial" w:hAnsi="Arial"/>
          <w:sz w:val="18"/>
          <w:szCs w:val="18"/>
          <w:color w:val="auto"/>
        </w:rPr>
      </w:pPr>
    </w:p>
    <w:p>
      <w:pPr>
        <w:ind w:right="40" w:firstLine="233"/>
        <w:spacing w:after="0" w:line="312" w:lineRule="auto"/>
        <w:tabs>
          <w:tab w:leader="none" w:pos="405"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necessary under this Agreement shall be addressed to the Company in care of its Secretary at the principal executive office of the Company and to the Participant at the address appearing in the personnel records of the Company for the Participant or to either party at such other address as either party hereto may hereafter designate in writing to the other. Any such notice shall be deemed effective upon receipt thereof by the addressee.</w:t>
      </w:r>
    </w:p>
    <w:p>
      <w:pPr>
        <w:spacing w:after="0" w:line="106" w:lineRule="exact"/>
        <w:rPr>
          <w:rFonts w:ascii="Arial" w:cs="Arial" w:eastAsia="Arial" w:hAnsi="Arial"/>
          <w:sz w:val="16"/>
          <w:szCs w:val="16"/>
          <w:color w:val="auto"/>
        </w:rPr>
      </w:pPr>
    </w:p>
    <w:p>
      <w:pPr>
        <w:ind w:right="20" w:firstLine="233"/>
        <w:spacing w:after="0" w:line="259" w:lineRule="auto"/>
        <w:tabs>
          <w:tab w:leader="none" w:pos="49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Option Subject to Plan</w:t>
      </w:r>
      <w:r>
        <w:rPr>
          <w:rFonts w:ascii="Arial" w:cs="Arial" w:eastAsia="Arial" w:hAnsi="Arial"/>
          <w:sz w:val="18"/>
          <w:szCs w:val="18"/>
          <w:color w:val="auto"/>
        </w:rPr>
        <w:t>. By accepting this Agreement and the Award evidenced hereby, the Participant agrees and acknowledges that the Participant has received and read a copy of the Plan. The Option is subject to the Plan.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59" w:lineRule="exact"/>
        <w:rPr>
          <w:rFonts w:ascii="Arial" w:cs="Arial" w:eastAsia="Arial" w:hAnsi="Arial"/>
          <w:sz w:val="18"/>
          <w:szCs w:val="18"/>
          <w:color w:val="auto"/>
        </w:rPr>
      </w:pPr>
    </w:p>
    <w:p>
      <w:pPr>
        <w:ind w:right="40" w:firstLine="233"/>
        <w:spacing w:after="0" w:line="277" w:lineRule="auto"/>
        <w:tabs>
          <w:tab w:leader="none" w:pos="488"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Failure to Enforce Not a Waiver</w:t>
      </w:r>
      <w:r>
        <w:rPr>
          <w:rFonts w:ascii="Arial" w:cs="Arial" w:eastAsia="Arial" w:hAnsi="Arial"/>
          <w:sz w:val="18"/>
          <w:szCs w:val="18"/>
          <w:color w:val="auto"/>
        </w:rPr>
        <w:t>. The failure of the Company to enforce at any time any provision of this Agreement shall in no way be construed to be a waiver of such provision or of any other provision hereof.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1" w:name="page112"/>
    <w:bookmarkEnd w:id="111"/>
    <w:p>
      <w:pPr>
        <w:ind w:firstLine="233"/>
        <w:spacing w:after="0" w:line="277" w:lineRule="auto"/>
        <w:tabs>
          <w:tab w:leader="none" w:pos="49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Authority of Committee</w:t>
      </w:r>
      <w:r>
        <w:rPr>
          <w:rFonts w:ascii="Arial" w:cs="Arial" w:eastAsia="Arial" w:hAnsi="Arial"/>
          <w:sz w:val="18"/>
          <w:szCs w:val="18"/>
          <w:color w:val="auto"/>
        </w:rPr>
        <w:t>. The Committee shall have full authority to interpret and construe the terms of the Plan and this Agreement. The determination of the Committee as to any such matter of interpretation or construction shall be final, conclusive and binding.</w:t>
      </w:r>
    </w:p>
    <w:p>
      <w:pPr>
        <w:spacing w:after="0" w:line="143" w:lineRule="exact"/>
        <w:rPr>
          <w:rFonts w:ascii="Arial" w:cs="Arial" w:eastAsia="Arial" w:hAnsi="Arial"/>
          <w:sz w:val="18"/>
          <w:szCs w:val="18"/>
          <w:color w:val="auto"/>
        </w:rPr>
      </w:pPr>
    </w:p>
    <w:p>
      <w:pPr>
        <w:ind w:right="140" w:firstLine="233"/>
        <w:spacing w:after="0" w:line="277" w:lineRule="auto"/>
        <w:tabs>
          <w:tab w:leader="none" w:pos="49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THE INTERPRETATION, PERFORMANCE AND ENFORCEMENT OF THIS AGREEMENT SHALL BE GOVERNED BY THE LAWS OF THE STATE OF NEW YORK WITHOUT REGARD TO PRINCIPLES OF CONFLICTS OF LAW.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2" w:name="page113"/>
    <w:bookmarkEnd w:id="112"/>
    <w:p>
      <w:pPr>
        <w:ind w:firstLine="225"/>
        <w:spacing w:after="0" w:line="277" w:lineRule="auto"/>
        <w:rPr>
          <w:sz w:val="20"/>
          <w:szCs w:val="20"/>
          <w:color w:val="auto"/>
        </w:rPr>
      </w:pPr>
      <w:r>
        <w:rPr>
          <w:rFonts w:ascii="Arial" w:cs="Arial" w:eastAsia="Arial" w:hAnsi="Arial"/>
          <w:sz w:val="18"/>
          <w:szCs w:val="18"/>
          <w:color w:val="auto"/>
        </w:rPr>
        <w:t>IN WITNESS WHEREOF, the Company has caused this Agreement to be duly executed and the Participant has hereunto set his hand, effective as of the Date of Grant.</w:t>
      </w:r>
    </w:p>
    <w:p>
      <w:pPr>
        <w:spacing w:after="0" w:line="36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POLO RALPH LAUREN CORPORATION</w:t>
      </w:r>
    </w:p>
    <w:p>
      <w:pPr>
        <w:spacing w:after="0" w:line="200" w:lineRule="exact"/>
        <w:rPr>
          <w:sz w:val="20"/>
          <w:szCs w:val="20"/>
          <w:color w:val="auto"/>
        </w:rPr>
      </w:pPr>
    </w:p>
    <w:p>
      <w:pPr>
        <w:spacing w:after="0" w:line="241" w:lineRule="exact"/>
        <w:rPr>
          <w:sz w:val="20"/>
          <w:szCs w:val="20"/>
          <w:color w:val="auto"/>
        </w:rPr>
      </w:pPr>
    </w:p>
    <w:p>
      <w:pPr>
        <w:ind w:left="5280"/>
        <w:spacing w:after="0"/>
        <w:tabs>
          <w:tab w:leader="none" w:pos="6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Mitchell A. Kosh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Mitchell A. Kosh</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Senior Vice President — Human Resources</w:t>
      </w:r>
    </w:p>
    <w:p>
      <w:pPr>
        <w:spacing w:after="0" w:line="21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Ralph Lauren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14605</wp:posOffset>
            </wp:positionV>
            <wp:extent cx="39020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line="16" w:lineRule="exact"/>
        <w:rPr>
          <w:sz w:val="20"/>
          <w:szCs w:val="20"/>
          <w:color w:val="auto"/>
        </w:rPr>
      </w:pPr>
    </w:p>
    <w:p>
      <w:pPr>
        <w:ind w:left="5280"/>
        <w:spacing w:after="0"/>
        <w:tabs>
          <w:tab w:leader="none" w:pos="6300" w:val="left"/>
        </w:tabs>
        <w:rPr>
          <w:sz w:val="20"/>
          <w:szCs w:val="20"/>
          <w:color w:val="auto"/>
        </w:rPr>
      </w:pPr>
      <w:r>
        <w:rPr>
          <w:rFonts w:ascii="Arial" w:cs="Arial" w:eastAsia="Arial" w:hAnsi="Arial"/>
          <w:sz w:val="18"/>
          <w:szCs w:val="18"/>
          <w:color w:val="auto"/>
        </w:rPr>
        <w:t>Participant:</w:t>
        <w:tab/>
        <w:t>Ralph Lauren</w:t>
      </w:r>
    </w:p>
    <w:p>
      <w:pPr>
        <w:spacing w:after="0" w:line="1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935" w:right="41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u w:val="single" w:color="auto"/>
          <w:color w:val="auto"/>
        </w:rPr>
        <w:t>EXECUTION COPY</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10.15</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POLO RALPH LAUREN CORPORATION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02" w:lineRule="exact"/>
        <w:rPr>
          <w:sz w:val="20"/>
          <w:szCs w:val="20"/>
          <w:color w:val="auto"/>
        </w:rPr>
      </w:pPr>
    </w:p>
    <w:p>
      <w:pPr>
        <w:ind w:right="100" w:firstLine="447"/>
        <w:spacing w:after="0" w:line="277" w:lineRule="auto"/>
        <w:rPr>
          <w:sz w:val="20"/>
          <w:szCs w:val="20"/>
          <w:color w:val="auto"/>
        </w:rPr>
      </w:pPr>
      <w:r>
        <w:rPr>
          <w:rFonts w:ascii="Arial" w:cs="Arial" w:eastAsia="Arial" w:hAnsi="Arial"/>
          <w:sz w:val="18"/>
          <w:szCs w:val="18"/>
          <w:color w:val="auto"/>
        </w:rPr>
        <w:t>THIS AGREEMENT (the “Agreement”) is made effective as of the 8th day of June 2004 (the “Grant Date”), between Polo Ralph Lauren Corporation, a Delaware corporation (the “Company”), and Mr. Ralph Lauren (the “Participant”).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r>
        <w:rPr>
          <w:rFonts w:ascii="Arial" w:cs="Arial" w:eastAsia="Arial" w:hAnsi="Arial"/>
          <w:sz w:val="18"/>
          <w:szCs w:val="18"/>
          <w:color w:val="auto"/>
        </w:rPr>
        <w:t>:</w:t>
      </w:r>
    </w:p>
    <w:p>
      <w:pPr>
        <w:spacing w:after="0" w:line="185" w:lineRule="exact"/>
        <w:rPr>
          <w:sz w:val="20"/>
          <w:szCs w:val="20"/>
          <w:color w:val="auto"/>
        </w:rPr>
      </w:pPr>
    </w:p>
    <w:p>
      <w:pPr>
        <w:ind w:right="180" w:firstLine="447"/>
        <w:spacing w:after="0" w:line="264" w:lineRule="auto"/>
        <w:rPr>
          <w:sz w:val="20"/>
          <w:szCs w:val="20"/>
          <w:color w:val="auto"/>
        </w:rPr>
      </w:pPr>
      <w:r>
        <w:rPr>
          <w:rFonts w:ascii="Arial" w:cs="Arial" w:eastAsia="Arial" w:hAnsi="Arial"/>
          <w:sz w:val="18"/>
          <w:szCs w:val="18"/>
          <w:color w:val="auto"/>
        </w:rPr>
        <w:t>WHEREAS, the Company has adopted the Polo Ralph Lauren Corporation 1997 Long-Term Stock Incentive Plan, as amended from time to time (the “Plan”), which Plan is incorporated herein by reference and made a part of this Agreement. Capitalized terms not otherwise defined herein shall have the same meanings as in the Plan; and</w:t>
      </w:r>
    </w:p>
    <w:p>
      <w:pPr>
        <w:spacing w:after="0" w:line="154" w:lineRule="exact"/>
        <w:rPr>
          <w:sz w:val="20"/>
          <w:szCs w:val="20"/>
          <w:color w:val="auto"/>
        </w:rPr>
      </w:pPr>
    </w:p>
    <w:p>
      <w:pPr>
        <w:ind w:right="160" w:firstLine="447"/>
        <w:spacing w:after="0" w:line="264" w:lineRule="auto"/>
        <w:rPr>
          <w:sz w:val="20"/>
          <w:szCs w:val="20"/>
          <w:color w:val="auto"/>
        </w:rPr>
      </w:pPr>
      <w:r>
        <w:rPr>
          <w:rFonts w:ascii="Arial" w:cs="Arial" w:eastAsia="Arial" w:hAnsi="Arial"/>
          <w:sz w:val="18"/>
          <w:szCs w:val="18"/>
          <w:color w:val="auto"/>
        </w:rPr>
        <w:t>WHEREAS, the Company and the Participant have entered into an Amended and Restated Employment Agreement dated June 23, 2003 (such agreement, as amended from time to time, the “Employment Agreement”), which contemplates that the Committee will grant the Unit Award (as hereinafter defined) to the Participant; and</w:t>
      </w:r>
    </w:p>
    <w:p>
      <w:pPr>
        <w:spacing w:after="0" w:line="141" w:lineRule="exact"/>
        <w:rPr>
          <w:sz w:val="20"/>
          <w:szCs w:val="20"/>
          <w:color w:val="auto"/>
        </w:rPr>
      </w:pPr>
    </w:p>
    <w:p>
      <w:pPr>
        <w:ind w:right="200" w:firstLine="447"/>
        <w:spacing w:after="0" w:line="277" w:lineRule="auto"/>
        <w:rPr>
          <w:sz w:val="20"/>
          <w:szCs w:val="20"/>
          <w:color w:val="auto"/>
        </w:rPr>
      </w:pPr>
      <w:r>
        <w:rPr>
          <w:rFonts w:ascii="Arial" w:cs="Arial" w:eastAsia="Arial" w:hAnsi="Arial"/>
          <w:sz w:val="18"/>
          <w:szCs w:val="18"/>
          <w:color w:val="auto"/>
        </w:rPr>
        <w:t>WHEREAS, the Committee has determined that it would be in the best interests of the Company and its stockholders to grant the restricted stock unit award provided for herein (the “Unit Award”) to the Participant pursuant to the Plan and the terms set forth herein.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covenants hereinafter set forth, the parties agree as follows:</w:t>
      </w:r>
    </w:p>
    <w:p>
      <w:pPr>
        <w:spacing w:after="0" w:line="198" w:lineRule="exact"/>
        <w:rPr>
          <w:sz w:val="20"/>
          <w:szCs w:val="20"/>
          <w:color w:val="auto"/>
        </w:rPr>
      </w:pPr>
    </w:p>
    <w:p>
      <w:pPr>
        <w:ind w:right="120" w:firstLine="458"/>
        <w:spacing w:after="0" w:line="259" w:lineRule="auto"/>
        <w:tabs>
          <w:tab w:leader="none" w:pos="63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Grant of the Restricted Stock Units</w:t>
      </w:r>
      <w:r>
        <w:rPr>
          <w:rFonts w:ascii="Arial" w:cs="Arial" w:eastAsia="Arial" w:hAnsi="Arial"/>
          <w:sz w:val="18"/>
          <w:szCs w:val="18"/>
          <w:color w:val="auto"/>
        </w:rPr>
        <w:t>. Subject to the terms and conditions of the Plan and the additional terms and conditions set forth in this Agreement, the Company hereby grants to the Participant a Unit Award consisting of 100,000 restricted stock units (each, a “Unit”), subject to adjustment as set forth in the Plan. Each Unit represents the right to receive one share of Class A Common Stock of the Company (each, a “Share”). Each Unit shall vest and become nonforfeitable in accordance with Section 2 hereof.</w:t>
      </w:r>
    </w:p>
    <w:p>
      <w:pPr>
        <w:spacing w:after="0" w:line="146" w:lineRule="exact"/>
        <w:rPr>
          <w:rFonts w:ascii="Arial" w:cs="Arial" w:eastAsia="Arial" w:hAnsi="Arial"/>
          <w:sz w:val="18"/>
          <w:szCs w:val="18"/>
          <w:color w:val="auto"/>
        </w:rPr>
      </w:pPr>
    </w:p>
    <w:p>
      <w:pPr>
        <w:ind w:left="640" w:hanging="182"/>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right="440" w:firstLine="683"/>
        <w:spacing w:after="0" w:line="277" w:lineRule="auto"/>
        <w:tabs>
          <w:tab w:leader="none" w:pos="9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Each Unit shall vest and become nonforfeitable on the fifth (5</w:t>
      </w:r>
      <w:r>
        <w:rPr>
          <w:rFonts w:ascii="Arial" w:cs="Arial" w:eastAsia="Arial" w:hAnsi="Arial"/>
          <w:sz w:val="15"/>
          <w:szCs w:val="15"/>
          <w:color w:val="auto"/>
        </w:rPr>
        <w:t>th</w:t>
      </w:r>
      <w:r>
        <w:rPr>
          <w:rFonts w:ascii="Arial" w:cs="Arial" w:eastAsia="Arial" w:hAnsi="Arial"/>
          <w:sz w:val="18"/>
          <w:szCs w:val="18"/>
          <w:color w:val="auto"/>
        </w:rPr>
        <w:t>) anniversary of the Grant Date, subject to accelerated vesting as set forth in Section 2(b)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4" w:name="page115"/>
    <w:bookmarkEnd w:id="114"/>
    <w:p>
      <w:pPr>
        <w:ind w:firstLine="683"/>
        <w:spacing w:after="0" w:line="257" w:lineRule="auto"/>
        <w:tabs>
          <w:tab w:leader="none" w:pos="930" w:val="left"/>
        </w:tabs>
        <w:numPr>
          <w:ilvl w:val="2"/>
          <w:numId w:val="76"/>
        </w:numPr>
        <w:rPr>
          <w:rFonts w:ascii="Arial" w:cs="Arial" w:eastAsia="Arial" w:hAnsi="Arial"/>
          <w:sz w:val="18"/>
          <w:szCs w:val="18"/>
          <w:color w:val="auto"/>
        </w:rPr>
      </w:pPr>
      <w:r>
        <w:rPr>
          <w:rFonts w:ascii="Arial" w:cs="Arial" w:eastAsia="Arial" w:hAnsi="Arial"/>
          <w:sz w:val="18"/>
          <w:szCs w:val="18"/>
          <w:color w:val="auto"/>
        </w:rPr>
        <w:t>(i) If the Participant’s employment with the Company is terminated (a) due to Participant’s death or Disability (as defined below), (b) by the Company without Cause (as defined below), (c) by the Participant for Good Reason (as defined below) or (d) by the Participant without Good Reason (as defined below) on any date that is after the last day of the Company’s fiscal year that ends in the 2008 calendar year or (ii) if the Company elects not to extend the Term (as defined below) or (iii) in the event of a Change of Control (as defined in the Plan), then any then unvested Unit shall vest immediately and the Executive shall be entitled to payment in respect of such Unit in accordance with Section 3 hereof.</w:t>
      </w:r>
    </w:p>
    <w:p>
      <w:pPr>
        <w:spacing w:after="0" w:line="161" w:lineRule="exact"/>
        <w:rPr>
          <w:rFonts w:ascii="Arial" w:cs="Arial" w:eastAsia="Arial" w:hAnsi="Arial"/>
          <w:sz w:val="18"/>
          <w:szCs w:val="18"/>
          <w:color w:val="auto"/>
        </w:rPr>
      </w:pPr>
    </w:p>
    <w:p>
      <w:pPr>
        <w:ind w:right="100" w:firstLine="683"/>
        <w:spacing w:after="0" w:line="277" w:lineRule="auto"/>
        <w:tabs>
          <w:tab w:leader="none" w:pos="920" w:val="left"/>
        </w:tabs>
        <w:numPr>
          <w:ilvl w:val="2"/>
          <w:numId w:val="76"/>
        </w:numPr>
        <w:rPr>
          <w:rFonts w:ascii="Arial" w:cs="Arial" w:eastAsia="Arial" w:hAnsi="Arial"/>
          <w:sz w:val="18"/>
          <w:szCs w:val="18"/>
          <w:color w:val="auto"/>
        </w:rPr>
      </w:pPr>
      <w:r>
        <w:rPr>
          <w:rFonts w:ascii="Arial" w:cs="Arial" w:eastAsia="Arial" w:hAnsi="Arial"/>
          <w:sz w:val="18"/>
          <w:szCs w:val="18"/>
          <w:color w:val="auto"/>
        </w:rPr>
        <w:t>For purposes of this Agreement the terms “Disability,” “Cause,” “Good Reason” and “Term” shall have the respective meanings specified in the Employment Agreement.</w:t>
      </w:r>
    </w:p>
    <w:p>
      <w:pPr>
        <w:spacing w:after="0" w:line="129" w:lineRule="exact"/>
        <w:rPr>
          <w:rFonts w:ascii="Arial" w:cs="Arial" w:eastAsia="Arial" w:hAnsi="Arial"/>
          <w:sz w:val="18"/>
          <w:szCs w:val="18"/>
          <w:color w:val="auto"/>
        </w:rPr>
      </w:pPr>
    </w:p>
    <w:p>
      <w:pPr>
        <w:ind w:left="640" w:hanging="182"/>
        <w:spacing w:after="0"/>
        <w:tabs>
          <w:tab w:leader="none" w:pos="640"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Distribution of Shares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right="120" w:firstLine="683"/>
        <w:spacing w:after="0" w:line="297" w:lineRule="auto"/>
        <w:tabs>
          <w:tab w:leader="none" w:pos="920" w:val="left"/>
        </w:tabs>
        <w:numPr>
          <w:ilvl w:val="2"/>
          <w:numId w:val="77"/>
        </w:numPr>
        <w:rPr>
          <w:rFonts w:ascii="Arial" w:cs="Arial" w:eastAsia="Arial" w:hAnsi="Arial"/>
          <w:sz w:val="16"/>
          <w:szCs w:val="16"/>
          <w:color w:val="auto"/>
        </w:rPr>
      </w:pPr>
      <w:r>
        <w:rPr>
          <w:rFonts w:ascii="Arial" w:cs="Arial" w:eastAsia="Arial" w:hAnsi="Arial"/>
          <w:sz w:val="16"/>
          <w:szCs w:val="16"/>
          <w:color w:val="auto"/>
        </w:rPr>
        <w:t>Subject to Section 3(c) hereof, as soon as practicable following the date of the Participant’s termination of employment with the Company or, if applicable, the date of a Change of Control (the applicable date being referred to as the “Termination Date”) (but in no event later than 90 days following the Termination Date), the Company shall issue and deliver to the Executive or to his estate, as applicable, one Share in respect of each whole Unit that is vested as of the Termination Date and cash in lieu of any vested fractional Unit (based on the fair market value per Share on the Termination Date). The Company shall deliver to the Participant or to his estate, as applicable, certificates in respect of such Shares along with the stock powers relating thereto.</w:t>
      </w:r>
    </w:p>
    <w:p>
      <w:pPr>
        <w:spacing w:after="0" w:line="131" w:lineRule="exact"/>
        <w:rPr>
          <w:rFonts w:ascii="Arial" w:cs="Arial" w:eastAsia="Arial" w:hAnsi="Arial"/>
          <w:sz w:val="16"/>
          <w:szCs w:val="16"/>
          <w:color w:val="auto"/>
        </w:rPr>
      </w:pPr>
    </w:p>
    <w:p>
      <w:pPr>
        <w:ind w:right="320" w:firstLine="683"/>
        <w:spacing w:after="0" w:line="277" w:lineRule="auto"/>
        <w:tabs>
          <w:tab w:leader="none" w:pos="920" w:val="left"/>
        </w:tabs>
        <w:numPr>
          <w:ilvl w:val="2"/>
          <w:numId w:val="77"/>
        </w:numPr>
        <w:rPr>
          <w:rFonts w:ascii="Arial" w:cs="Arial" w:eastAsia="Arial" w:hAnsi="Arial"/>
          <w:sz w:val="18"/>
          <w:szCs w:val="18"/>
          <w:color w:val="auto"/>
        </w:rPr>
      </w:pPr>
      <w:r>
        <w:rPr>
          <w:rFonts w:ascii="Arial" w:cs="Arial" w:eastAsia="Arial" w:hAnsi="Arial"/>
          <w:sz w:val="18"/>
          <w:szCs w:val="18"/>
          <w:color w:val="auto"/>
        </w:rPr>
        <w:t>Any Unit that remains unvested on the Termination Date, after taking into account any applicable acceleration of vesting of Units pursuant to Section 2(b) hereof, shall be forfeited to the Company and shall terminate immediately.</w:t>
      </w:r>
    </w:p>
    <w:p>
      <w:pPr>
        <w:spacing w:after="0" w:line="129" w:lineRule="exact"/>
        <w:rPr>
          <w:rFonts w:ascii="Arial" w:cs="Arial" w:eastAsia="Arial" w:hAnsi="Arial"/>
          <w:sz w:val="18"/>
          <w:szCs w:val="18"/>
          <w:color w:val="auto"/>
        </w:rPr>
      </w:pPr>
    </w:p>
    <w:p>
      <w:pPr>
        <w:ind w:right="140" w:firstLine="683"/>
        <w:spacing w:after="0" w:line="277" w:lineRule="auto"/>
        <w:tabs>
          <w:tab w:leader="none" w:pos="920" w:val="left"/>
        </w:tabs>
        <w:numPr>
          <w:ilvl w:val="2"/>
          <w:numId w:val="77"/>
        </w:numPr>
        <w:rPr>
          <w:rFonts w:ascii="Arial" w:cs="Arial" w:eastAsia="Arial" w:hAnsi="Arial"/>
          <w:sz w:val="18"/>
          <w:szCs w:val="18"/>
          <w:color w:val="auto"/>
        </w:rPr>
      </w:pPr>
      <w:r>
        <w:rPr>
          <w:rFonts w:ascii="Arial" w:cs="Arial" w:eastAsia="Arial" w:hAnsi="Arial"/>
          <w:sz w:val="18"/>
          <w:szCs w:val="18"/>
          <w:color w:val="auto"/>
        </w:rPr>
        <w:t>In accordance with rules and regulations prescribed by the Committee, the Executive may elect to defer the receipt of Shares otherwise issuable pursuant to Section 3(a) hereof.</w:t>
      </w:r>
    </w:p>
    <w:p>
      <w:pPr>
        <w:spacing w:after="0" w:line="129" w:lineRule="exact"/>
        <w:rPr>
          <w:rFonts w:ascii="Arial" w:cs="Arial" w:eastAsia="Arial" w:hAnsi="Arial"/>
          <w:sz w:val="18"/>
          <w:szCs w:val="18"/>
          <w:color w:val="auto"/>
        </w:rPr>
      </w:pPr>
    </w:p>
    <w:p>
      <w:pPr>
        <w:ind w:right="120" w:firstLine="458"/>
        <w:spacing w:after="0" w:line="264" w:lineRule="auto"/>
        <w:tabs>
          <w:tab w:leader="none" w:pos="630"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Except as set forth in Section 5 hereof, neither the Participant nor Participant’s successor in interest shall have any rights as a stockholder of the Company with respect to any Shares subject to the Units until such Shares have been issued to or in respect of the Participant following the Termination Date.</w:t>
      </w:r>
    </w:p>
    <w:p>
      <w:pPr>
        <w:spacing w:after="0" w:line="154" w:lineRule="exact"/>
        <w:rPr>
          <w:rFonts w:ascii="Arial" w:cs="Arial" w:eastAsia="Arial" w:hAnsi="Arial"/>
          <w:sz w:val="18"/>
          <w:szCs w:val="18"/>
          <w:color w:val="auto"/>
        </w:rPr>
      </w:pPr>
    </w:p>
    <w:p>
      <w:pPr>
        <w:ind w:right="220" w:firstLine="458"/>
        <w:spacing w:after="0" w:line="291" w:lineRule="auto"/>
        <w:tabs>
          <w:tab w:leader="none" w:pos="630" w:val="left"/>
        </w:tabs>
        <w:numPr>
          <w:ilvl w:val="1"/>
          <w:numId w:val="77"/>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In the event of any issuance of a cash dividend on the Shares (a “Dividend”), the Participant shall be credited, as of the payment date for such Dividend, with an additional number of Units (each, a “Dividend Unit”) equal to the quotient obtained by dividing (a) the product of</w:t>
      </w:r>
    </w:p>
    <w:p>
      <w:pPr>
        <w:ind w:right="540" w:firstLine="8"/>
        <w:spacing w:after="0" w:line="261" w:lineRule="auto"/>
        <w:tabs>
          <w:tab w:leader="none" w:pos="21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number of Units granted pursuant to this Agreement and outstanding as of the record date for such Dividend multiplied by (ii) the amount of the Dividend per Share, divided by (b) the fair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15" w:name="page116"/>
    <w:bookmarkEnd w:id="115"/>
    <w:p>
      <w:pPr>
        <w:ind w:right="200"/>
        <w:spacing w:after="0" w:line="259" w:lineRule="auto"/>
        <w:rPr>
          <w:sz w:val="20"/>
          <w:szCs w:val="20"/>
          <w:color w:val="auto"/>
        </w:rPr>
      </w:pPr>
      <w:r>
        <w:rPr>
          <w:rFonts w:ascii="Arial" w:cs="Arial" w:eastAsia="Arial" w:hAnsi="Arial"/>
          <w:sz w:val="18"/>
          <w:szCs w:val="18"/>
          <w:color w:val="auto"/>
        </w:rPr>
        <w:t>market value per Share on the payment date for such Dividend, such quotient to be rounded to the nearest one-one hundredth of a Unit. Once credited, each Dividend Unit shall be treated as a Unit granted hereunder and shall be subject to all terms and conditions set forth in this Agreement and the Plan. For purposes of the vesting schedule set forth in Section 3 hereof, each Dividend Unit credited hereunder shall be treated as having been granted on the Grant Date.</w:t>
      </w:r>
    </w:p>
    <w:p>
      <w:pPr>
        <w:spacing w:after="0" w:line="160" w:lineRule="exact"/>
        <w:rPr>
          <w:sz w:val="20"/>
          <w:szCs w:val="20"/>
          <w:color w:val="auto"/>
        </w:rPr>
      </w:pPr>
    </w:p>
    <w:p>
      <w:pPr>
        <w:ind w:firstLine="458"/>
        <w:spacing w:after="0" w:line="259" w:lineRule="auto"/>
        <w:tabs>
          <w:tab w:leader="none" w:pos="63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Unit Award Subject to the Plan</w:t>
      </w:r>
      <w:r>
        <w:rPr>
          <w:rFonts w:ascii="Arial" w:cs="Arial" w:eastAsia="Arial" w:hAnsi="Arial"/>
          <w:sz w:val="18"/>
          <w:szCs w:val="18"/>
          <w:color w:val="auto"/>
        </w:rPr>
        <w:t>. By accepting this Agreement and the Unit Award evidenced hereby, the Participant agrees and acknowledges that the Participant has received and read a copy of the Plan. The Unit Award is subject to the Plan. The terms and provisions of the Plan as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46" w:lineRule="exact"/>
        <w:rPr>
          <w:rFonts w:ascii="Arial" w:cs="Arial" w:eastAsia="Arial" w:hAnsi="Arial"/>
          <w:sz w:val="18"/>
          <w:szCs w:val="18"/>
          <w:color w:val="auto"/>
        </w:rPr>
      </w:pPr>
    </w:p>
    <w:p>
      <w:pPr>
        <w:ind w:right="40" w:firstLine="458"/>
        <w:spacing w:after="0" w:line="312" w:lineRule="auto"/>
        <w:tabs>
          <w:tab w:leader="none" w:pos="630"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No Right to Continued Employment</w:t>
      </w:r>
      <w:r>
        <w:rPr>
          <w:rFonts w:ascii="Arial" w:cs="Arial" w:eastAsia="Arial" w:hAnsi="Arial"/>
          <w:sz w:val="16"/>
          <w:szCs w:val="16"/>
          <w:color w:val="auto"/>
        </w:rPr>
        <w:t>. Neither the Plan nor this Agreement shall be construed as giving the Participant the right to be retained in the employ of, or in any consulting relationship to, the Company or any Affiliate. Further, the Company or an Affiliate may at any time dismiss the Participant or discontinue any consulting relationship, free from any liability or any claim under the Plan or this Agreement, except as otherwise expressly provided herein.</w:t>
      </w:r>
    </w:p>
    <w:p>
      <w:pPr>
        <w:spacing w:after="0" w:line="106" w:lineRule="exact"/>
        <w:rPr>
          <w:rFonts w:ascii="Arial" w:cs="Arial" w:eastAsia="Arial" w:hAnsi="Arial"/>
          <w:sz w:val="16"/>
          <w:szCs w:val="16"/>
          <w:color w:val="auto"/>
        </w:rPr>
      </w:pPr>
    </w:p>
    <w:p>
      <w:pPr>
        <w:ind w:right="620" w:firstLine="458"/>
        <w:spacing w:after="0" w:line="277" w:lineRule="auto"/>
        <w:tabs>
          <w:tab w:leader="none" w:pos="63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expressly contemplated in this Agreement, the Units may not at any time be sold, assigned, transferred, pledged or otherwise encumbered.</w:t>
      </w:r>
    </w:p>
    <w:p>
      <w:pPr>
        <w:spacing w:after="0" w:line="143" w:lineRule="exact"/>
        <w:rPr>
          <w:rFonts w:ascii="Arial" w:cs="Arial" w:eastAsia="Arial" w:hAnsi="Arial"/>
          <w:sz w:val="18"/>
          <w:szCs w:val="18"/>
          <w:color w:val="auto"/>
        </w:rPr>
      </w:pPr>
    </w:p>
    <w:p>
      <w:pPr>
        <w:ind w:right="60" w:firstLine="458"/>
        <w:spacing w:after="0" w:line="255" w:lineRule="auto"/>
        <w:tabs>
          <w:tab w:leader="none" w:pos="63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By accepting this Unit Award, the Participant agrees to make appropriate arrangements with the Company for satisfaction of any applicable federal, state or local income tax withholding requirements, including the payment to the Company of all such taxes and requirements in connection with the distribution or delivery of the Shares, or other settlement in respect of the Units, and the Company shall be authorized to take such action as may be necessary in the opinion of the Company’s counsel (including, without limitation, withholding Shares otherwise deliverable to Participant hereunder and/or withholding amounts from any compensation or other amount owing from the Company to the Participant) to satisfy all obligations for the payment of such taxes; provided, however, that in no event shall the value of Shares so withheld by the Company exceed the minimum withholding rates required by applicable statutes.</w:t>
      </w:r>
    </w:p>
    <w:p>
      <w:pPr>
        <w:spacing w:after="0" w:line="148" w:lineRule="exact"/>
        <w:rPr>
          <w:rFonts w:ascii="Arial" w:cs="Arial" w:eastAsia="Arial" w:hAnsi="Arial"/>
          <w:sz w:val="18"/>
          <w:szCs w:val="18"/>
          <w:color w:val="auto"/>
        </w:rPr>
      </w:pPr>
    </w:p>
    <w:p>
      <w:pPr>
        <w:ind w:right="240" w:firstLine="458"/>
        <w:spacing w:after="0" w:line="308" w:lineRule="auto"/>
        <w:tabs>
          <w:tab w:leader="none" w:pos="720"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Securities Laws</w:t>
      </w:r>
      <w:r>
        <w:rPr>
          <w:rFonts w:ascii="Arial" w:cs="Arial" w:eastAsia="Arial" w:hAnsi="Arial"/>
          <w:sz w:val="17"/>
          <w:szCs w:val="17"/>
          <w:color w:val="auto"/>
        </w:rPr>
        <w:t>. Prior to issuance and delivery of any Shares, the Participant will make or enter into such written representations, warranties and agreements as the Committee may reasonably request in order to comply with applicable securities laws or with this Agreement.</w:t>
      </w:r>
    </w:p>
    <w:p>
      <w:pPr>
        <w:spacing w:after="0" w:line="106" w:lineRule="exact"/>
        <w:rPr>
          <w:rFonts w:ascii="Arial" w:cs="Arial" w:eastAsia="Arial" w:hAnsi="Arial"/>
          <w:sz w:val="17"/>
          <w:szCs w:val="17"/>
          <w:color w:val="auto"/>
        </w:rPr>
      </w:pPr>
    </w:p>
    <w:p>
      <w:pPr>
        <w:ind w:right="160" w:firstLine="458"/>
        <w:spacing w:after="0" w:line="277" w:lineRule="auto"/>
        <w:tabs>
          <w:tab w:leader="none" w:pos="713"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necessary under this Agreement shall be addressed to the Company in care of its Secretary at the principal executive office of the Company and to the Participant at the address appearing in the personnel records of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6" w:name="page117"/>
    <w:bookmarkEnd w:id="116"/>
    <w:p>
      <w:pPr>
        <w:ind w:right="260"/>
        <w:spacing w:after="0" w:line="277" w:lineRule="auto"/>
        <w:rPr>
          <w:sz w:val="20"/>
          <w:szCs w:val="20"/>
          <w:color w:val="auto"/>
        </w:rPr>
      </w:pPr>
      <w:r>
        <w:rPr>
          <w:rFonts w:ascii="Arial" w:cs="Arial" w:eastAsia="Arial" w:hAnsi="Arial"/>
          <w:sz w:val="18"/>
          <w:szCs w:val="18"/>
          <w:color w:val="auto"/>
        </w:rPr>
        <w:t>Company for such Participant or to either party at such other address as either party hereto may hereafter designate in writing to the other. Any such notice shall be deemed effective upon receipt thereof by the addressee.</w:t>
      </w:r>
    </w:p>
    <w:p>
      <w:pPr>
        <w:spacing w:after="0" w:line="143" w:lineRule="exact"/>
        <w:rPr>
          <w:sz w:val="20"/>
          <w:szCs w:val="20"/>
          <w:color w:val="auto"/>
        </w:rPr>
      </w:pPr>
    </w:p>
    <w:p>
      <w:pPr>
        <w:ind w:firstLine="458"/>
        <w:spacing w:after="0" w:line="277" w:lineRule="auto"/>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Failure to Enforce Not a Waiver</w:t>
      </w:r>
      <w:r>
        <w:rPr>
          <w:rFonts w:ascii="Arial" w:cs="Arial" w:eastAsia="Arial" w:hAnsi="Arial"/>
          <w:sz w:val="18"/>
          <w:szCs w:val="18"/>
          <w:color w:val="auto"/>
        </w:rPr>
        <w:t>. The failure of the Company to enforce at any time any provision of this Agreement shall in no way be construed to be a waiver of such provision or of any other provision hereof.</w:t>
      </w:r>
    </w:p>
    <w:p>
      <w:pPr>
        <w:spacing w:after="0" w:line="129" w:lineRule="exact"/>
        <w:rPr>
          <w:rFonts w:ascii="Arial" w:cs="Arial" w:eastAsia="Arial" w:hAnsi="Arial"/>
          <w:sz w:val="18"/>
          <w:szCs w:val="18"/>
          <w:color w:val="auto"/>
        </w:rPr>
      </w:pPr>
    </w:p>
    <w:p>
      <w:pPr>
        <w:ind w:right="800" w:firstLine="458"/>
        <w:spacing w:after="0" w:line="308" w:lineRule="auto"/>
        <w:tabs>
          <w:tab w:leader="none" w:pos="720"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Authority of Committee</w:t>
      </w:r>
      <w:r>
        <w:rPr>
          <w:rFonts w:ascii="Arial" w:cs="Arial" w:eastAsia="Arial" w:hAnsi="Arial"/>
          <w:sz w:val="17"/>
          <w:szCs w:val="17"/>
          <w:color w:val="auto"/>
        </w:rPr>
        <w:t>. The Committee shall have full authority to interpret and construe the terms of the Plan and this Agreement. The determination of the Committee as to any such matter of interpretation or construction shall be final, conclusive and binding.</w:t>
      </w:r>
    </w:p>
    <w:p>
      <w:pPr>
        <w:spacing w:after="0" w:line="106" w:lineRule="exact"/>
        <w:rPr>
          <w:rFonts w:ascii="Arial" w:cs="Arial" w:eastAsia="Arial" w:hAnsi="Arial"/>
          <w:sz w:val="17"/>
          <w:szCs w:val="17"/>
          <w:color w:val="auto"/>
        </w:rPr>
      </w:pPr>
    </w:p>
    <w:p>
      <w:pPr>
        <w:ind w:right="300" w:firstLine="458"/>
        <w:spacing w:after="0" w:line="277" w:lineRule="auto"/>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THE INTERPRETATION, PERFORMANCE AND ENFORCEMENT OF THIS AGREEMENT SHALL BE GOVERNED BY THE LAWS OF STATE OF THE NEW YORK WITHOUT REGARD TO PRINCIPLES OF CONFLICTS OF LAW.</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7" w:name="page118"/>
    <w:bookmarkEnd w:id="117"/>
    <w:p>
      <w:pPr>
        <w:spacing w:after="0" w:line="277" w:lineRule="auto"/>
        <w:rPr>
          <w:sz w:val="20"/>
          <w:szCs w:val="20"/>
          <w:color w:val="auto"/>
        </w:rPr>
      </w:pPr>
      <w:r>
        <w:rPr>
          <w:rFonts w:ascii="Arial" w:cs="Arial" w:eastAsia="Arial" w:hAnsi="Arial"/>
          <w:sz w:val="18"/>
          <w:szCs w:val="18"/>
          <w:color w:val="auto"/>
        </w:rPr>
        <w:t>IN WITNESS WHEREOF, the Company has caused this Agreement to be duly executed and the Participant has hereunto set his hand, effective as of the Grant Date.</w:t>
      </w:r>
    </w:p>
    <w:p>
      <w:pPr>
        <w:spacing w:after="0" w:line="36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POLO RALPH LAUREN CORPORATION</w:t>
      </w:r>
    </w:p>
    <w:p>
      <w:pPr>
        <w:spacing w:after="0" w:line="225" w:lineRule="exact"/>
        <w:rPr>
          <w:sz w:val="20"/>
          <w:szCs w:val="20"/>
          <w:color w:val="auto"/>
        </w:rPr>
      </w:pPr>
    </w:p>
    <w:p>
      <w:pPr>
        <w:ind w:left="5280"/>
        <w:spacing w:after="0"/>
        <w:tabs>
          <w:tab w:leader="none" w:pos="6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Mitchell A. Kosh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Mitchell A. Kosh</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Senior Vice President — Human Resources</w:t>
      </w:r>
    </w:p>
    <w:p>
      <w:pPr>
        <w:spacing w:after="0" w:line="21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Ralph Lauren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14605</wp:posOffset>
            </wp:positionV>
            <wp:extent cx="39020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line="16" w:lineRule="exact"/>
        <w:rPr>
          <w:sz w:val="20"/>
          <w:szCs w:val="20"/>
          <w:color w:val="auto"/>
        </w:rPr>
      </w:pPr>
    </w:p>
    <w:p>
      <w:pPr>
        <w:ind w:left="5280"/>
        <w:spacing w:after="0"/>
        <w:tabs>
          <w:tab w:leader="none" w:pos="6300" w:val="left"/>
        </w:tabs>
        <w:rPr>
          <w:sz w:val="20"/>
          <w:szCs w:val="20"/>
          <w:color w:val="auto"/>
        </w:rPr>
      </w:pPr>
      <w:r>
        <w:rPr>
          <w:rFonts w:ascii="Arial" w:cs="Arial" w:eastAsia="Arial" w:hAnsi="Arial"/>
          <w:sz w:val="18"/>
          <w:szCs w:val="18"/>
          <w:color w:val="auto"/>
        </w:rPr>
        <w:t>Participant:</w:t>
        <w:tab/>
        <w:t>Ralph Lauren</w:t>
      </w:r>
    </w:p>
    <w:p>
      <w:pPr>
        <w:spacing w:after="0" w:line="18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240" w:top="935" w:right="6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10.18</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POLO RALPH LAUREN CORPORATION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UNIT AWARD AGREEMENT</w:t>
      </w:r>
    </w:p>
    <w:p>
      <w:pPr>
        <w:spacing w:after="0" w:line="189"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THIS AGREEMENT (the “Agreement”) is made effective as of the 1</w:t>
      </w:r>
      <w:r>
        <w:rPr>
          <w:rFonts w:ascii="Arial" w:cs="Arial" w:eastAsia="Arial" w:hAnsi="Arial"/>
          <w:sz w:val="15"/>
          <w:szCs w:val="15"/>
          <w:color w:val="auto"/>
        </w:rPr>
        <w:t>st</w:t>
      </w:r>
      <w:r>
        <w:rPr>
          <w:rFonts w:ascii="Arial" w:cs="Arial" w:eastAsia="Arial" w:hAnsi="Arial"/>
          <w:sz w:val="18"/>
          <w:szCs w:val="18"/>
          <w:color w:val="auto"/>
        </w:rPr>
        <w:t xml:space="preserve"> day of July 2004 (the “Grant Date”), between Polo Ralph Lauren Corporation, a Delaware corporation (hereinafter called the “Company”), and Roger N. Farah (hereinafter called the “Participant”).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r>
        <w:rPr>
          <w:rFonts w:ascii="Arial" w:cs="Arial" w:eastAsia="Arial" w:hAnsi="Arial"/>
          <w:sz w:val="18"/>
          <w:szCs w:val="18"/>
          <w:color w:val="auto"/>
        </w:rPr>
        <w:t>:</w:t>
      </w:r>
    </w:p>
    <w:p>
      <w:pPr>
        <w:spacing w:after="0" w:line="185" w:lineRule="exact"/>
        <w:rPr>
          <w:sz w:val="20"/>
          <w:szCs w:val="20"/>
          <w:color w:val="auto"/>
        </w:rPr>
      </w:pPr>
    </w:p>
    <w:p>
      <w:pPr>
        <w:ind w:right="80" w:firstLine="447"/>
        <w:spacing w:after="0" w:line="286" w:lineRule="auto"/>
        <w:rPr>
          <w:sz w:val="20"/>
          <w:szCs w:val="20"/>
          <w:color w:val="auto"/>
        </w:rPr>
      </w:pPr>
      <w:r>
        <w:rPr>
          <w:rFonts w:ascii="Arial" w:cs="Arial" w:eastAsia="Arial" w:hAnsi="Arial"/>
          <w:sz w:val="17"/>
          <w:szCs w:val="17"/>
          <w:color w:val="auto"/>
        </w:rPr>
        <w:t>WHEREAS, the Company has adopted the Polo Ralph Lauren Corporation 1997 Long-Term Stock Incentive Plan (the “Plan”) and, subject to approval of stockholders at the Company’s 2004 annual meeting, has adopted an amendment and restatement to the Plan, effective as of July 1, 2004 (the “Restated Plan”) (capitalized terms not otherwise defined herein shall have the same meanings as in the Restated Plan); and</w:t>
      </w:r>
    </w:p>
    <w:p>
      <w:pPr>
        <w:spacing w:after="0" w:line="125" w:lineRule="exact"/>
        <w:rPr>
          <w:sz w:val="20"/>
          <w:szCs w:val="20"/>
          <w:color w:val="auto"/>
        </w:rPr>
      </w:pPr>
    </w:p>
    <w:p>
      <w:pPr>
        <w:ind w:right="300" w:firstLine="447"/>
        <w:spacing w:after="0" w:line="264" w:lineRule="auto"/>
        <w:rPr>
          <w:sz w:val="20"/>
          <w:szCs w:val="20"/>
          <w:color w:val="auto"/>
        </w:rPr>
      </w:pPr>
      <w:r>
        <w:rPr>
          <w:rFonts w:ascii="Arial" w:cs="Arial" w:eastAsia="Arial" w:hAnsi="Arial"/>
          <w:sz w:val="18"/>
          <w:szCs w:val="18"/>
          <w:color w:val="auto"/>
        </w:rPr>
        <w:t>WHEREAS, the Company and the Participant have executed an Amendment No. 1 to the Amended and Restated Employment Agreement dated July 23, 2002 (such agreement, as amended from time to time, the “Employment Agreement”), which contemplates that the Committee will grant the Unit Award (as hereinafter defined) to the Participant; and</w:t>
      </w:r>
    </w:p>
    <w:p>
      <w:pPr>
        <w:spacing w:after="0" w:line="154" w:lineRule="exact"/>
        <w:rPr>
          <w:sz w:val="20"/>
          <w:szCs w:val="20"/>
          <w:color w:val="auto"/>
        </w:rPr>
      </w:pPr>
    </w:p>
    <w:p>
      <w:pPr>
        <w:ind w:right="200" w:firstLine="447"/>
        <w:spacing w:after="0" w:line="308" w:lineRule="auto"/>
        <w:rPr>
          <w:sz w:val="20"/>
          <w:szCs w:val="20"/>
          <w:color w:val="auto"/>
        </w:rPr>
      </w:pPr>
      <w:r>
        <w:rPr>
          <w:rFonts w:ascii="Arial" w:cs="Arial" w:eastAsia="Arial" w:hAnsi="Arial"/>
          <w:sz w:val="17"/>
          <w:szCs w:val="17"/>
          <w:color w:val="auto"/>
        </w:rPr>
        <w:t>WHEREAS, the Committee has determined that it would be in the best interests of the Company and its stockholders to grant the restricted stock unit award provided for herein (the “Unit Award”) to the Participant pursuant to the Restated Plan and the terms set forth herein.</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covenants hereinafter set forth, the parties agree as follows:</w:t>
      </w:r>
    </w:p>
    <w:p>
      <w:pPr>
        <w:spacing w:after="0" w:line="185" w:lineRule="exact"/>
        <w:rPr>
          <w:sz w:val="20"/>
          <w:szCs w:val="20"/>
          <w:color w:val="auto"/>
        </w:rPr>
      </w:pPr>
    </w:p>
    <w:p>
      <w:pPr>
        <w:ind w:right="60" w:firstLine="458"/>
        <w:spacing w:after="0" w:line="257" w:lineRule="auto"/>
        <w:tabs>
          <w:tab w:leader="none" w:pos="63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Grant of the Restricted Stock Units</w:t>
      </w:r>
      <w:r>
        <w:rPr>
          <w:rFonts w:ascii="Arial" w:cs="Arial" w:eastAsia="Arial" w:hAnsi="Arial"/>
          <w:sz w:val="18"/>
          <w:szCs w:val="18"/>
          <w:color w:val="auto"/>
        </w:rPr>
        <w:t>. Subject to stockholder approval of the Restated Plan at the 2004 annual meeting, and subject further to the terms and conditions of the Restated Plan and the additional terms and conditions set forth in this Agreement, the Company hereby grants to the Participant a Restricted Stock Unit Award consisting of 437,500 Restricted Stock Units (each, a “Unit”), 187,500 of which shall vest upon the attainment of certain performance goals (the “Performance Award”) and 250,000 of which shall vest based upon Participant’s continued employment with the Company (the “Time-Based Award”). The Units shall vest and become nonforfeitable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color w:val="auto"/>
        </w:rPr>
        <w:t>accordance with Section 2 hereof. Each Unit represents the right to receive one share of Class A Common Stock of the Company (each, a “Share”).</w:t>
      </w:r>
    </w:p>
    <w:p>
      <w:pPr>
        <w:spacing w:after="0" w:line="210" w:lineRule="exact"/>
        <w:rPr>
          <w:sz w:val="20"/>
          <w:szCs w:val="20"/>
          <w:color w:val="auto"/>
        </w:rPr>
      </w:pPr>
    </w:p>
    <w:p>
      <w:pPr>
        <w:ind w:left="640" w:hanging="182"/>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firstLine="683"/>
        <w:spacing w:after="0" w:line="259" w:lineRule="auto"/>
        <w:tabs>
          <w:tab w:leader="none" w:pos="917" w:val="left"/>
        </w:tabs>
        <w:numPr>
          <w:ilvl w:val="1"/>
          <w:numId w:val="82"/>
        </w:numPr>
        <w:rPr>
          <w:rFonts w:ascii="Arial" w:cs="Arial" w:eastAsia="Arial" w:hAnsi="Arial"/>
          <w:sz w:val="18"/>
          <w:szCs w:val="18"/>
          <w:color w:val="auto"/>
        </w:rPr>
      </w:pPr>
      <w:r>
        <w:rPr>
          <w:rFonts w:ascii="Arial" w:cs="Arial" w:eastAsia="Arial" w:hAnsi="Arial"/>
          <w:sz w:val="18"/>
          <w:szCs w:val="18"/>
          <w:color w:val="auto"/>
        </w:rPr>
        <w:t>Time-Based Award. Subject to the Participant’s continued employment with the Company through the applicable vesting date, or as otherwise set forth in Section 2(c) hereof, the Units subject to the Time-Based Award shall vest and become nonforfeitable with respect to one-third (1/3) of such Units on the last day of the Company’s 2008, 2009 and 2010 fiscal years, (i.e., the fiscal years ending in those calendar years), respectively (determined without regard to any future changes of the Company’s fiscal year).</w:t>
      </w:r>
    </w:p>
    <w:p>
      <w:pPr>
        <w:spacing w:after="0" w:line="146" w:lineRule="exact"/>
        <w:rPr>
          <w:rFonts w:ascii="Arial" w:cs="Arial" w:eastAsia="Arial" w:hAnsi="Arial"/>
          <w:sz w:val="18"/>
          <w:szCs w:val="18"/>
          <w:color w:val="auto"/>
        </w:rPr>
      </w:pPr>
    </w:p>
    <w:p>
      <w:pPr>
        <w:ind w:right="60" w:firstLine="683"/>
        <w:spacing w:after="0" w:line="273" w:lineRule="auto"/>
        <w:tabs>
          <w:tab w:leader="none" w:pos="930" w:val="left"/>
        </w:tabs>
        <w:numPr>
          <w:ilvl w:val="1"/>
          <w:numId w:val="82"/>
        </w:numPr>
        <w:rPr>
          <w:rFonts w:ascii="Arial" w:cs="Arial" w:eastAsia="Arial" w:hAnsi="Arial"/>
          <w:sz w:val="17"/>
          <w:szCs w:val="17"/>
          <w:color w:val="auto"/>
        </w:rPr>
      </w:pPr>
      <w:r>
        <w:rPr>
          <w:rFonts w:ascii="Arial" w:cs="Arial" w:eastAsia="Arial" w:hAnsi="Arial"/>
          <w:sz w:val="17"/>
          <w:szCs w:val="17"/>
          <w:color w:val="auto"/>
        </w:rPr>
        <w:t xml:space="preserve">Performance Award. Subject to the Participant’s continued employment with the Company through the applicable fiscal year, or as otherwise set forth in Section 2(c) hereof, the Units subject to the Performance Award shall vest and become nonforfeitable with respect to up to one-third (1/3) of such Units on the last day of the Company’s 2005, 2006 and 2007 fiscal years (i.e., the fiscal years ending in those calendar years), respectively (determined without regard to any future changes of the Company’s fiscal year), based on the extent to which the performance goals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shall have been attained. Any Units subject to the Performance Award which are eligible to vest at the end of the applicable fiscal year noted above, but which do not so vest, shall thereupon be cancelled and forfeited to the Company and shall terminate immediately.</w:t>
      </w:r>
    </w:p>
    <w:p>
      <w:pPr>
        <w:spacing w:after="0" w:line="151" w:lineRule="exact"/>
        <w:rPr>
          <w:rFonts w:ascii="Arial" w:cs="Arial" w:eastAsia="Arial" w:hAnsi="Arial"/>
          <w:sz w:val="17"/>
          <w:szCs w:val="17"/>
          <w:color w:val="auto"/>
        </w:rPr>
      </w:pPr>
    </w:p>
    <w:p>
      <w:pPr>
        <w:ind w:firstLine="683"/>
        <w:spacing w:after="0" w:line="271" w:lineRule="auto"/>
        <w:tabs>
          <w:tab w:leader="none" w:pos="920" w:val="left"/>
        </w:tabs>
        <w:numPr>
          <w:ilvl w:val="1"/>
          <w:numId w:val="82"/>
        </w:numPr>
        <w:rPr>
          <w:rFonts w:ascii="Arial" w:cs="Arial" w:eastAsia="Arial" w:hAnsi="Arial"/>
          <w:sz w:val="17"/>
          <w:szCs w:val="17"/>
          <w:color w:val="auto"/>
        </w:rPr>
      </w:pPr>
      <w:r>
        <w:rPr>
          <w:rFonts w:ascii="Arial" w:cs="Arial" w:eastAsia="Arial" w:hAnsi="Arial"/>
          <w:sz w:val="17"/>
          <w:szCs w:val="17"/>
          <w:color w:val="auto"/>
        </w:rPr>
        <w:t>If the Participant’s employment with the Company is terminated due to Participant’s death or Disability, by the Company without Cause or by the Participant for Good Reason, (i) any then outstanding unvested Units attributable to the Time-Based Award shall vest immediately and the Participant shall be entitled to payment in respect of all outstanding vested Units attributable to the Time-Based Award in accordance with Section 3 hereof and (ii) a pro rata portion of any outstanding Units attributable to the Performance Award shall vest immediately, such pro rata portion to be determined based upon a fraction the numerator of which is the number of full and partial months commencing April 2004 through the date of termination and the denominator of which is thirty-six (36), and the Executive shall be entitled to payment in respect of such vested Units in accordance with Section 3 hereof. If a Change of Control occurs during the Participant’s employment, all then outstanding Units (whether or not vested) shall thereupon vest and the Participant shall be entitled to payment in respect of such Units in accordance with Section 3 hereof.</w:t>
      </w:r>
    </w:p>
    <w:p>
      <w:pPr>
        <w:spacing w:after="0" w:line="138" w:lineRule="exact"/>
        <w:rPr>
          <w:rFonts w:ascii="Arial" w:cs="Arial" w:eastAsia="Arial" w:hAnsi="Arial"/>
          <w:sz w:val="17"/>
          <w:szCs w:val="17"/>
          <w:color w:val="auto"/>
        </w:rPr>
      </w:pPr>
    </w:p>
    <w:p>
      <w:pPr>
        <w:ind w:right="220" w:firstLine="683"/>
        <w:spacing w:after="0" w:line="277" w:lineRule="auto"/>
        <w:tabs>
          <w:tab w:leader="none" w:pos="930" w:val="left"/>
        </w:tabs>
        <w:numPr>
          <w:ilvl w:val="1"/>
          <w:numId w:val="82"/>
        </w:numPr>
        <w:rPr>
          <w:rFonts w:ascii="Arial" w:cs="Arial" w:eastAsia="Arial" w:hAnsi="Arial"/>
          <w:sz w:val="18"/>
          <w:szCs w:val="18"/>
          <w:color w:val="auto"/>
        </w:rPr>
      </w:pPr>
      <w:r>
        <w:rPr>
          <w:rFonts w:ascii="Arial" w:cs="Arial" w:eastAsia="Arial" w:hAnsi="Arial"/>
          <w:sz w:val="18"/>
          <w:szCs w:val="18"/>
          <w:color w:val="auto"/>
        </w:rPr>
        <w:t>For purposes of this Agreement, the terms “Disability,” “Cause,” “Good Reason” and “Change of Control” shall have the respective meanings specified in the Employment Agreement.</w:t>
      </w:r>
    </w:p>
    <w:p>
      <w:pPr>
        <w:spacing w:after="0" w:line="129" w:lineRule="exact"/>
        <w:rPr>
          <w:rFonts w:ascii="Arial" w:cs="Arial" w:eastAsia="Arial" w:hAnsi="Arial"/>
          <w:sz w:val="18"/>
          <w:szCs w:val="18"/>
          <w:color w:val="auto"/>
        </w:rPr>
      </w:pPr>
    </w:p>
    <w:p>
      <w:pPr>
        <w:ind w:left="640" w:hanging="182"/>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Distribution of Shares</w:t>
      </w:r>
      <w:r>
        <w:rPr>
          <w:rFonts w:ascii="Arial" w:cs="Arial" w:eastAsia="Arial" w:hAnsi="Arial"/>
          <w:sz w:val="18"/>
          <w:szCs w:val="18"/>
          <w:color w:val="auto"/>
        </w:rPr>
        <w: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20" w:name="page121"/>
    <w:bookmarkEnd w:id="120"/>
    <w:p>
      <w:pPr>
        <w:ind w:left="-8" w:right="40" w:firstLine="683"/>
        <w:spacing w:after="0" w:line="270" w:lineRule="auto"/>
        <w:tabs>
          <w:tab w:leader="none" w:pos="909" w:val="left"/>
        </w:tabs>
        <w:numPr>
          <w:ilvl w:val="2"/>
          <w:numId w:val="83"/>
        </w:numPr>
        <w:rPr>
          <w:rFonts w:ascii="Arial" w:cs="Arial" w:eastAsia="Arial" w:hAnsi="Arial"/>
          <w:sz w:val="17"/>
          <w:szCs w:val="17"/>
          <w:color w:val="auto"/>
        </w:rPr>
      </w:pPr>
      <w:r>
        <w:rPr>
          <w:rFonts w:ascii="Arial" w:cs="Arial" w:eastAsia="Arial" w:hAnsi="Arial"/>
          <w:sz w:val="17"/>
          <w:szCs w:val="17"/>
          <w:color w:val="auto"/>
        </w:rPr>
        <w:t>The Participant shall be entitled to receive payment in the form of Shares for each vested Unit subject to the Performance Award as soon as practicable following the end of the applicable fiscal year at which vesting of such Units is determined (or at such earlier time of vesting prescribed by Section 2(c) hereof). The Participant shall be entitled to receive payment in the form of Shares for each vested Unit subject to the Time-Based Award as soon as practicable following the Participant’s termination of employment for any reason (or, if earlier, upon the occurrence of a Change of Control during participant’s employment). In connection with any such payment, the Company shall issue and deliver to the Participant or to his estate, as applicable, one Share in respect of each whole vested Unit and cash in lieu of any vested fractional Unit (based on the fair market value per Share on the vesting date or, in the case of fractional Units attributable to the Time-Based Award which are settled in connection with Participant’s termination of employment, based on the fair market value per Share on the date of such termination). The Company shall deliver to the Participant or to his estate, as applicable, certificates in respect of such Shares along with the stock powers relating thereto.</w:t>
      </w:r>
    </w:p>
    <w:p>
      <w:pPr>
        <w:spacing w:after="0" w:line="154" w:lineRule="exact"/>
        <w:rPr>
          <w:rFonts w:ascii="Arial" w:cs="Arial" w:eastAsia="Arial" w:hAnsi="Arial"/>
          <w:sz w:val="17"/>
          <w:szCs w:val="17"/>
          <w:color w:val="auto"/>
        </w:rPr>
      </w:pPr>
    </w:p>
    <w:p>
      <w:pPr>
        <w:ind w:left="-8" w:right="100" w:firstLine="683"/>
        <w:spacing w:after="0" w:line="264" w:lineRule="auto"/>
        <w:tabs>
          <w:tab w:leader="none" w:pos="912" w:val="left"/>
        </w:tabs>
        <w:numPr>
          <w:ilvl w:val="2"/>
          <w:numId w:val="83"/>
        </w:numPr>
        <w:rPr>
          <w:rFonts w:ascii="Arial" w:cs="Arial" w:eastAsia="Arial" w:hAnsi="Arial"/>
          <w:sz w:val="18"/>
          <w:szCs w:val="18"/>
          <w:color w:val="auto"/>
        </w:rPr>
      </w:pPr>
      <w:r>
        <w:rPr>
          <w:rFonts w:ascii="Arial" w:cs="Arial" w:eastAsia="Arial" w:hAnsi="Arial"/>
          <w:sz w:val="18"/>
          <w:szCs w:val="18"/>
          <w:color w:val="auto"/>
        </w:rPr>
        <w:t>Any Unit not previously cancelled and forfeited pursuant to Section 2(b) above that remains unvested on the date of Participant’s termination of employment, after taking into account any applicable acceleration of vesting of Units pursuant to Section 2(c) hereof, shall thereupon be cancelled and forfeited to the Company and shall terminate immediately.</w:t>
      </w:r>
    </w:p>
    <w:p>
      <w:pPr>
        <w:spacing w:after="0" w:line="140" w:lineRule="exact"/>
        <w:rPr>
          <w:rFonts w:ascii="Arial" w:cs="Arial" w:eastAsia="Arial" w:hAnsi="Arial"/>
          <w:sz w:val="18"/>
          <w:szCs w:val="18"/>
          <w:color w:val="auto"/>
        </w:rPr>
      </w:pPr>
    </w:p>
    <w:p>
      <w:pPr>
        <w:ind w:left="-8" w:right="300" w:firstLine="458"/>
        <w:spacing w:after="0" w:line="277" w:lineRule="auto"/>
        <w:tabs>
          <w:tab w:leader="none" w:pos="622"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Neither the Participant nor Participant’s successor in interest shall have any rights as a stockholder of the Company with respect to any Shares subject to the Units until such Shares have been issued to or in respect of the Participant.</w:t>
      </w:r>
    </w:p>
    <w:p>
      <w:pPr>
        <w:spacing w:after="0" w:line="129" w:lineRule="exact"/>
        <w:rPr>
          <w:rFonts w:ascii="Arial" w:cs="Arial" w:eastAsia="Arial" w:hAnsi="Arial"/>
          <w:sz w:val="18"/>
          <w:szCs w:val="18"/>
          <w:color w:val="auto"/>
        </w:rPr>
      </w:pPr>
    </w:p>
    <w:p>
      <w:pPr>
        <w:ind w:left="-8" w:right="200" w:firstLine="458"/>
        <w:spacing w:after="0" w:line="291" w:lineRule="auto"/>
        <w:tabs>
          <w:tab w:leader="none" w:pos="622"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In the event of any issuance of a cash dividend on the Shares (a “Dividend”), the Participant shall be credited, as of the payment date for such Dividend, with an additional number of Units (each, a “Dividend Unit”) equal to the quotient obtained by dividing (a) the product of</w:t>
      </w:r>
    </w:p>
    <w:p>
      <w:pPr>
        <w:ind w:left="-8" w:right="60" w:firstLine="8"/>
        <w:spacing w:after="0" w:line="253" w:lineRule="auto"/>
        <w:tabs>
          <w:tab w:leader="none" w:pos="20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number of Units granted pursuant to this Agreement and outstanding as of the record date for such Dividend multiplied by (ii) the amount of the Dividend per Share, divided by (b) the fair market value per Share on the payment date for such Dividend, such quotient to be rounded to the nearest one-one hundredth of a Unit. Once credited, each Dividend Unit shall be treated as a Unit granted hereunder and shall be subject to all terms and conditions set forth in this Agreement and the Restated Plan applicable to the Units in respect of which the Dividend Unit was created (</w:t>
      </w:r>
      <w:r>
        <w:rPr>
          <w:rFonts w:ascii="Arial" w:cs="Arial" w:eastAsia="Arial" w:hAnsi="Arial"/>
          <w:sz w:val="18"/>
          <w:szCs w:val="18"/>
          <w:u w:val="single" w:color="auto"/>
          <w:color w:val="auto"/>
        </w:rPr>
        <w:t>i.e.</w:t>
      </w:r>
      <w:r>
        <w:rPr>
          <w:rFonts w:ascii="Arial" w:cs="Arial" w:eastAsia="Arial" w:hAnsi="Arial"/>
          <w:sz w:val="18"/>
          <w:szCs w:val="18"/>
          <w:color w:val="auto"/>
        </w:rPr>
        <w:t>, Units subject to the Time-Based Award or Performance Award, as the case may be).</w:t>
      </w:r>
    </w:p>
    <w:p>
      <w:pPr>
        <w:spacing w:after="0" w:line="164" w:lineRule="exact"/>
        <w:rPr>
          <w:rFonts w:ascii="Arial" w:cs="Arial" w:eastAsia="Arial" w:hAnsi="Arial"/>
          <w:sz w:val="18"/>
          <w:szCs w:val="18"/>
          <w:color w:val="auto"/>
        </w:rPr>
      </w:pPr>
    </w:p>
    <w:p>
      <w:pPr>
        <w:ind w:left="-8" w:firstLine="458"/>
        <w:spacing w:after="0" w:line="259" w:lineRule="auto"/>
        <w:tabs>
          <w:tab w:leader="none" w:pos="622"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Unit Award Subject to the Restated Plan</w:t>
      </w:r>
      <w:r>
        <w:rPr>
          <w:rFonts w:ascii="Arial" w:cs="Arial" w:eastAsia="Arial" w:hAnsi="Arial"/>
          <w:sz w:val="18"/>
          <w:szCs w:val="18"/>
          <w:color w:val="auto"/>
        </w:rPr>
        <w:t>. By accepting this Agreement and the Unit Award evidenced hereby, the Participant agrees and acknowledges that the Participant has received and read a copy of the Restated Plan. The Unit Award is subject to the Restated Plan. The terms and provisions of the Restated Plan as amended from time to time are hereby incorporated herein by reference. In the event of a conflict between any term or provision contained herein and a term or</w:t>
      </w:r>
    </w:p>
    <w:p>
      <w:pPr>
        <w:spacing w:after="0" w:line="14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provision of the Restated Plan, the applicable terms and provisions of the Restated Plan will govern and prevail.</w:t>
      </w:r>
    </w:p>
    <w:p>
      <w:pPr>
        <w:spacing w:after="0" w:line="198" w:lineRule="exact"/>
        <w:rPr>
          <w:sz w:val="20"/>
          <w:szCs w:val="20"/>
          <w:color w:val="auto"/>
        </w:rPr>
      </w:pPr>
    </w:p>
    <w:p>
      <w:pPr>
        <w:ind w:left="640" w:hanging="182"/>
        <w:spacing w:after="0"/>
        <w:tabs>
          <w:tab w:leader="none" w:pos="640"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No Right to Continued Employment</w:t>
      </w:r>
      <w:r>
        <w:rPr>
          <w:rFonts w:ascii="Arial" w:cs="Arial" w:eastAsia="Arial" w:hAnsi="Arial"/>
          <w:sz w:val="17"/>
          <w:szCs w:val="17"/>
          <w:color w:val="auto"/>
        </w:rPr>
        <w:t>. Neither the Restated Plan nor this Agreement shall be construed as giving the Participant the right to be</w:t>
      </w:r>
    </w:p>
    <w:p>
      <w:pPr>
        <w:spacing w:after="0" w:line="34" w:lineRule="exact"/>
        <w:rPr>
          <w:rFonts w:ascii="Arial" w:cs="Arial" w:eastAsia="Arial" w:hAnsi="Arial"/>
          <w:sz w:val="17"/>
          <w:szCs w:val="17"/>
          <w:color w:val="auto"/>
        </w:rPr>
      </w:pPr>
    </w:p>
    <w:p>
      <w:pPr>
        <w:spacing w:after="0" w:line="255" w:lineRule="auto"/>
        <w:rPr>
          <w:rFonts w:ascii="Arial" w:cs="Arial" w:eastAsia="Arial" w:hAnsi="Arial"/>
          <w:sz w:val="17"/>
          <w:szCs w:val="17"/>
          <w:color w:val="auto"/>
        </w:rPr>
      </w:pPr>
      <w:r>
        <w:rPr>
          <w:rFonts w:ascii="Arial" w:cs="Arial" w:eastAsia="Arial" w:hAnsi="Arial"/>
          <w:sz w:val="18"/>
          <w:szCs w:val="18"/>
          <w:color w:val="auto"/>
        </w:rPr>
        <w:t>retained in the employ of, or in any consulting relationship to, the Company or any Affiliate. Further, the Company or an Affiliate may at any time dismiss the Participant or discontinue any consulting relationship, free from any liability or any claim under the Restated Plan or this Agreement, except as otherwise expressly provided herein.</w:t>
      </w:r>
    </w:p>
    <w:p>
      <w:pPr>
        <w:spacing w:after="0" w:line="149" w:lineRule="exact"/>
        <w:rPr>
          <w:rFonts w:ascii="Arial" w:cs="Arial" w:eastAsia="Arial" w:hAnsi="Arial"/>
          <w:sz w:val="17"/>
          <w:szCs w:val="17"/>
          <w:color w:val="auto"/>
        </w:rPr>
      </w:pPr>
    </w:p>
    <w:p>
      <w:pPr>
        <w:ind w:right="620" w:firstLine="458"/>
        <w:spacing w:after="0" w:line="277" w:lineRule="auto"/>
        <w:tabs>
          <w:tab w:leader="none" w:pos="63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expressly contemplated in this Agreement, the Units may not at any time be sold, assigned, transferred, pledged or otherwise encumbered.</w:t>
      </w:r>
    </w:p>
    <w:p>
      <w:pPr>
        <w:spacing w:after="0" w:line="129" w:lineRule="exact"/>
        <w:rPr>
          <w:rFonts w:ascii="Arial" w:cs="Arial" w:eastAsia="Arial" w:hAnsi="Arial"/>
          <w:sz w:val="18"/>
          <w:szCs w:val="18"/>
          <w:color w:val="auto"/>
        </w:rPr>
      </w:pPr>
    </w:p>
    <w:p>
      <w:pPr>
        <w:ind w:right="60" w:firstLine="458"/>
        <w:spacing w:after="0" w:line="255" w:lineRule="auto"/>
        <w:tabs>
          <w:tab w:leader="none" w:pos="63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By accepting this Unit Award, the Participant agrees to make appropriate arrangements with the Company for satisfaction of any applicable federal, state or local income tax withholding requirements, including the payment to the Company of all such taxes and requirements in connection with the distribution or delivery of the Shares, or other settlement in respect of the Units, and the Company shall be authorized to take such action as may be necessary in the opinion of the Company’s counsel (including, without limitation, withholding Shares otherwise deliverable to Participant hereunder and/or withholding amounts from any compensation or other amount owing from the Company to the Participant) to satisfy all obligations for the payment of such taxes; provided, however, that in no event shall the value of Shares so withheld by the Company exceed the minimum withholding rates required by applicable statutes.</w:t>
      </w:r>
    </w:p>
    <w:p>
      <w:pPr>
        <w:spacing w:after="0" w:line="162" w:lineRule="exact"/>
        <w:rPr>
          <w:rFonts w:ascii="Arial" w:cs="Arial" w:eastAsia="Arial" w:hAnsi="Arial"/>
          <w:sz w:val="18"/>
          <w:szCs w:val="18"/>
          <w:color w:val="auto"/>
        </w:rPr>
      </w:pPr>
    </w:p>
    <w:p>
      <w:pPr>
        <w:ind w:right="240" w:firstLine="458"/>
        <w:spacing w:after="0" w:line="308" w:lineRule="auto"/>
        <w:tabs>
          <w:tab w:leader="none" w:pos="720"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Securities Laws</w:t>
      </w:r>
      <w:r>
        <w:rPr>
          <w:rFonts w:ascii="Arial" w:cs="Arial" w:eastAsia="Arial" w:hAnsi="Arial"/>
          <w:sz w:val="17"/>
          <w:szCs w:val="17"/>
          <w:color w:val="auto"/>
        </w:rPr>
        <w:t>. Prior to issuance and delivery of any Shares, the Participant will make or enter into such written representations, warranties and agreements as the Committee may reasonably request in order to comply with applicable securities laws or with this Agreement.</w:t>
      </w:r>
    </w:p>
    <w:p>
      <w:pPr>
        <w:spacing w:after="0" w:line="106" w:lineRule="exact"/>
        <w:rPr>
          <w:rFonts w:ascii="Arial" w:cs="Arial" w:eastAsia="Arial" w:hAnsi="Arial"/>
          <w:sz w:val="17"/>
          <w:szCs w:val="17"/>
          <w:color w:val="auto"/>
        </w:rPr>
      </w:pPr>
    </w:p>
    <w:p>
      <w:pPr>
        <w:ind w:right="20" w:firstLine="458"/>
        <w:spacing w:after="0" w:line="312" w:lineRule="auto"/>
        <w:tabs>
          <w:tab w:leader="none" w:pos="713"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necessary under this Agreement shall be addressed to the Company in care of its Secretary at the principal executive office of the Company and to the Participant at the address appearing in the personnel records of the Company for such Participant or to either party at such other address as either party hereto may hereafter designate in writing to the other. Any such notice shall be deemed effective upon receipt thereof by the addressee.</w:t>
      </w:r>
    </w:p>
    <w:p>
      <w:pPr>
        <w:spacing w:after="0" w:line="106" w:lineRule="exact"/>
        <w:rPr>
          <w:rFonts w:ascii="Arial" w:cs="Arial" w:eastAsia="Arial" w:hAnsi="Arial"/>
          <w:sz w:val="16"/>
          <w:szCs w:val="16"/>
          <w:color w:val="auto"/>
        </w:rPr>
      </w:pPr>
    </w:p>
    <w:p>
      <w:pPr>
        <w:ind w:firstLine="458"/>
        <w:spacing w:after="0" w:line="277" w:lineRule="auto"/>
        <w:tabs>
          <w:tab w:leader="none" w:pos="72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Failure to Enforce Not a Waiver</w:t>
      </w:r>
      <w:r>
        <w:rPr>
          <w:rFonts w:ascii="Arial" w:cs="Arial" w:eastAsia="Arial" w:hAnsi="Arial"/>
          <w:sz w:val="18"/>
          <w:szCs w:val="18"/>
          <w:color w:val="auto"/>
        </w:rPr>
        <w:t>. The failure of the Company to enforce at any time any provision of this Agreement shall in no way be construed to be a waiver of such provision or of any other provision hereof.</w:t>
      </w:r>
    </w:p>
    <w:p>
      <w:pPr>
        <w:spacing w:after="0" w:line="143" w:lineRule="exact"/>
        <w:rPr>
          <w:rFonts w:ascii="Arial" w:cs="Arial" w:eastAsia="Arial" w:hAnsi="Arial"/>
          <w:sz w:val="18"/>
          <w:szCs w:val="18"/>
          <w:color w:val="auto"/>
        </w:rPr>
      </w:pPr>
    </w:p>
    <w:p>
      <w:pPr>
        <w:ind w:right="140" w:firstLine="458"/>
        <w:spacing w:after="0" w:line="277" w:lineRule="auto"/>
        <w:tabs>
          <w:tab w:leader="none" w:pos="72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Authority of Committee</w:t>
      </w:r>
      <w:r>
        <w:rPr>
          <w:rFonts w:ascii="Arial" w:cs="Arial" w:eastAsia="Arial" w:hAnsi="Arial"/>
          <w:sz w:val="18"/>
          <w:szCs w:val="18"/>
          <w:color w:val="auto"/>
        </w:rPr>
        <w:t>. The Committee shall have full authority to interpret and construe the terms of the Restated Plan and this Agreement. The determination of the Committee as to any such matter of interpretation or construction shall be final, conclusive and binding.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22" w:name="page123"/>
    <w:bookmarkEnd w:id="122"/>
    <w:p>
      <w:pPr>
        <w:ind w:right="240" w:firstLine="458"/>
        <w:spacing w:after="0" w:line="277" w:lineRule="auto"/>
        <w:tabs>
          <w:tab w:leader="none" w:pos="72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THE INTERPRETATION, PERFORMANCE AND ENFORCEMENT OF THIS AGREEMENT SHALL BE GOVERNED BY THE LAWS OF STATE OF THE NEW YORK WITHOUT REGARD TO PRINCIPLES OF CONFLICTS OF LAW.</w:t>
      </w:r>
    </w:p>
    <w:p>
      <w:pPr>
        <w:spacing w:after="0" w:line="143" w:lineRule="exact"/>
        <w:rPr>
          <w:rFonts w:ascii="Arial" w:cs="Arial" w:eastAsia="Arial" w:hAnsi="Arial"/>
          <w:sz w:val="18"/>
          <w:szCs w:val="18"/>
          <w:color w:val="auto"/>
        </w:rPr>
      </w:pPr>
    </w:p>
    <w:p>
      <w:pPr>
        <w:ind w:right="60" w:firstLine="458"/>
        <w:spacing w:after="0" w:line="264" w:lineRule="auto"/>
        <w:tabs>
          <w:tab w:leader="none" w:pos="72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Stockholder Approval of Restated Plan</w:t>
      </w:r>
      <w:r>
        <w:rPr>
          <w:rFonts w:ascii="Arial" w:cs="Arial" w:eastAsia="Arial" w:hAnsi="Arial"/>
          <w:sz w:val="18"/>
          <w:szCs w:val="18"/>
          <w:color w:val="auto"/>
        </w:rPr>
        <w:t>. This Agreement shall take effect as of the date hereof, subject to approval of the stockholders of the Company, at the 2004 annual meeting, of the Restated Plan. In the event that the Restated Plan is not so approved, this Agreement shall be null and void and of no force and effect.</w:t>
      </w:r>
    </w:p>
    <w:p>
      <w:pPr>
        <w:spacing w:after="0" w:line="140" w:lineRule="exact"/>
        <w:rPr>
          <w:rFonts w:ascii="Arial" w:cs="Arial" w:eastAsia="Arial" w:hAnsi="Arial"/>
          <w:sz w:val="18"/>
          <w:szCs w:val="18"/>
          <w:color w:val="auto"/>
        </w:rPr>
      </w:pPr>
    </w:p>
    <w:p>
      <w:pPr>
        <w:ind w:firstLine="458"/>
        <w:spacing w:after="0" w:line="277" w:lineRule="auto"/>
        <w:tabs>
          <w:tab w:leader="none" w:pos="72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No provision of this Agreement may be modified, waived or discharged unless such waiver, modification or discharge is agreed to in writing signed by the Participant and an appropriate officer of the Company.</w:t>
      </w:r>
    </w:p>
    <w:p>
      <w:pPr>
        <w:spacing w:after="0" w:line="130" w:lineRule="exact"/>
        <w:rPr>
          <w:sz w:val="20"/>
          <w:szCs w:val="20"/>
          <w:color w:val="auto"/>
        </w:rPr>
      </w:pPr>
    </w:p>
    <w:p>
      <w:pPr>
        <w:ind w:right="140" w:firstLine="450"/>
        <w:spacing w:after="0" w:line="277" w:lineRule="auto"/>
        <w:rPr>
          <w:sz w:val="20"/>
          <w:szCs w:val="20"/>
          <w:color w:val="auto"/>
        </w:rPr>
      </w:pPr>
      <w:r>
        <w:rPr>
          <w:rFonts w:ascii="Arial" w:cs="Arial" w:eastAsia="Arial" w:hAnsi="Arial"/>
          <w:sz w:val="18"/>
          <w:szCs w:val="18"/>
          <w:color w:val="auto"/>
        </w:rPr>
        <w:t>IN WITNESS WHEREOF, the Company has caused this Agreement to be duly executed and the Participant has hereunto set his hand, effective as of the Grant Date, subject to the conditions set forth herein.</w:t>
      </w:r>
    </w:p>
    <w:p>
      <w:pPr>
        <w:spacing w:after="0" w:line="36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POLO RALPH LAUREN CORPORATION</w:t>
      </w:r>
    </w:p>
    <w:p>
      <w:pPr>
        <w:spacing w:after="0" w:line="200" w:lineRule="exact"/>
        <w:rPr>
          <w:sz w:val="20"/>
          <w:szCs w:val="20"/>
          <w:color w:val="auto"/>
        </w:rPr>
      </w:pPr>
    </w:p>
    <w:p>
      <w:pPr>
        <w:spacing w:after="0" w:line="241" w:lineRule="exact"/>
        <w:rPr>
          <w:sz w:val="20"/>
          <w:szCs w:val="20"/>
          <w:color w:val="auto"/>
        </w:rPr>
      </w:pPr>
    </w:p>
    <w:p>
      <w:pPr>
        <w:ind w:left="528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Mitchell A. Kosh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14605</wp:posOffset>
            </wp:positionV>
            <wp:extent cx="36017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16" w:lineRule="exact"/>
        <w:rPr>
          <w:sz w:val="20"/>
          <w:szCs w:val="20"/>
          <w:color w:val="auto"/>
        </w:rPr>
      </w:pPr>
    </w:p>
    <w:p>
      <w:pPr>
        <w:ind w:left="6080"/>
        <w:spacing w:after="0"/>
        <w:tabs>
          <w:tab w:leader="none" w:pos="6720" w:val="left"/>
        </w:tabs>
        <w:rPr>
          <w:sz w:val="20"/>
          <w:szCs w:val="20"/>
          <w:color w:val="auto"/>
        </w:rPr>
      </w:pPr>
      <w:r>
        <w:rPr>
          <w:rFonts w:ascii="Arial" w:cs="Arial" w:eastAsia="Arial" w:hAnsi="Arial"/>
          <w:sz w:val="18"/>
          <w:szCs w:val="18"/>
          <w:color w:val="auto"/>
        </w:rPr>
        <w:t>Name:</w:t>
        <w:tab/>
        <w:t>Mitchell A. Kosh</w:t>
      </w:r>
    </w:p>
    <w:p>
      <w:pPr>
        <w:spacing w:after="0" w:line="23" w:lineRule="exact"/>
        <w:rPr>
          <w:sz w:val="20"/>
          <w:szCs w:val="20"/>
          <w:color w:val="auto"/>
        </w:rPr>
      </w:pPr>
    </w:p>
    <w:p>
      <w:pPr>
        <w:ind w:left="6080"/>
        <w:spacing w:after="0"/>
        <w:tabs>
          <w:tab w:leader="none" w:pos="6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Vice President,</w:t>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Human Resources</w:t>
      </w:r>
    </w:p>
    <w:p>
      <w:pPr>
        <w:spacing w:after="0" w:line="21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Roger N. Farah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14605</wp:posOffset>
            </wp:positionV>
            <wp:extent cx="39020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line="16" w:lineRule="exact"/>
        <w:rPr>
          <w:sz w:val="20"/>
          <w:szCs w:val="20"/>
          <w:color w:val="auto"/>
        </w:rPr>
      </w:pPr>
    </w:p>
    <w:p>
      <w:pPr>
        <w:ind w:left="5280"/>
        <w:spacing w:after="0"/>
        <w:tabs>
          <w:tab w:leader="none" w:pos="6300" w:val="left"/>
        </w:tabs>
        <w:rPr>
          <w:sz w:val="20"/>
          <w:szCs w:val="20"/>
          <w:color w:val="auto"/>
        </w:rPr>
      </w:pPr>
      <w:r>
        <w:rPr>
          <w:rFonts w:ascii="Arial" w:cs="Arial" w:eastAsia="Arial" w:hAnsi="Arial"/>
          <w:sz w:val="18"/>
          <w:szCs w:val="18"/>
          <w:color w:val="auto"/>
        </w:rPr>
        <w:t>Participant:</w:t>
        <w:tab/>
        <w:t>Roger N. Farah</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Goals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Initial Performance-Based Grant</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Performance-Based Award of 187,500 restricted stock units that shall be subject to the vesting criteria set forth below. Straight-line interpolation shall be applied for net income amounts achieved between the threshold and 100% target as of the end of the applicable fiscal year as set forth below. Performance below the threshold as of the end of the applicable fiscal year shall result in 0% vesting.</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8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Number of Units</w:t>
            </w:r>
          </w:p>
        </w:tc>
        <w:tc>
          <w:tcPr>
            <w:tcW w:w="2600" w:type="dxa"/>
            <w:vAlign w:val="bottom"/>
            <w:tcBorders>
              <w:top w:val="single" w:sz="8" w:color="auto"/>
            </w:tcBorders>
          </w:tcPr>
          <w:p>
            <w:pPr>
              <w:ind w:left="560"/>
              <w:spacing w:after="0"/>
              <w:rPr>
                <w:sz w:val="20"/>
                <w:szCs w:val="20"/>
                <w:color w:val="auto"/>
              </w:rPr>
            </w:pPr>
            <w:r>
              <w:rPr>
                <w:rFonts w:ascii="Arial" w:cs="Arial" w:eastAsia="Arial" w:hAnsi="Arial"/>
                <w:sz w:val="18"/>
                <w:szCs w:val="18"/>
                <w:b w:val="1"/>
                <w:bCs w:val="1"/>
                <w:color w:val="auto"/>
              </w:rPr>
              <w:t>Vesting Date</w:t>
            </w:r>
            <w:r>
              <w:rPr>
                <w:rFonts w:ascii="Arial" w:cs="Arial" w:eastAsia="Arial" w:hAnsi="Arial"/>
                <w:sz w:val="15"/>
                <w:szCs w:val="15"/>
                <w:b w:val="1"/>
                <w:bCs w:val="1"/>
                <w:color w:val="auto"/>
              </w:rPr>
              <w:t>1</w:t>
            </w:r>
          </w:p>
        </w:tc>
        <w:tc>
          <w:tcPr>
            <w:tcW w:w="3820" w:type="dxa"/>
            <w:vAlign w:val="bottom"/>
            <w:tcBorders>
              <w:top w:val="single" w:sz="8" w:color="auto"/>
            </w:tcBorders>
          </w:tcPr>
          <w:p>
            <w:pPr>
              <w:ind w:left="360"/>
              <w:spacing w:after="0"/>
              <w:rPr>
                <w:sz w:val="20"/>
                <w:szCs w:val="20"/>
                <w:color w:val="auto"/>
              </w:rPr>
            </w:pPr>
            <w:r>
              <w:rPr>
                <w:rFonts w:ascii="Arial" w:cs="Arial" w:eastAsia="Arial" w:hAnsi="Arial"/>
                <w:sz w:val="18"/>
                <w:szCs w:val="18"/>
                <w:b w:val="1"/>
                <w:bCs w:val="1"/>
                <w:color w:val="auto"/>
              </w:rPr>
              <w:t>Net Income</w:t>
            </w:r>
            <w:r>
              <w:rPr>
                <w:rFonts w:ascii="Arial" w:cs="Arial" w:eastAsia="Arial" w:hAnsi="Arial"/>
                <w:sz w:val="15"/>
                <w:szCs w:val="15"/>
                <w:b w:val="1"/>
                <w:bCs w:val="1"/>
                <w:color w:val="auto"/>
              </w:rPr>
              <w:t>2</w:t>
            </w:r>
            <w:r>
              <w:rPr>
                <w:rFonts w:ascii="Arial" w:cs="Arial" w:eastAsia="Arial" w:hAnsi="Arial"/>
                <w:sz w:val="18"/>
                <w:szCs w:val="18"/>
                <w:b w:val="1"/>
                <w:bCs w:val="1"/>
                <w:color w:val="auto"/>
              </w:rPr>
              <w:t xml:space="preserve"> Threshold for</w:t>
            </w:r>
          </w:p>
        </w:tc>
        <w:tc>
          <w:tcPr>
            <w:tcW w:w="314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New Income</w:t>
            </w:r>
            <w:r>
              <w:rPr>
                <w:rFonts w:ascii="Arial" w:cs="Arial" w:eastAsia="Arial" w:hAnsi="Arial"/>
                <w:sz w:val="15"/>
                <w:szCs w:val="15"/>
                <w:b w:val="1"/>
                <w:bCs w:val="1"/>
                <w:color w:val="auto"/>
              </w:rPr>
              <w:t>2</w:t>
            </w:r>
            <w:r>
              <w:rPr>
                <w:rFonts w:ascii="Arial" w:cs="Arial" w:eastAsia="Arial" w:hAnsi="Arial"/>
                <w:sz w:val="18"/>
                <w:szCs w:val="18"/>
                <w:b w:val="1"/>
                <w:bCs w:val="1"/>
                <w:color w:val="auto"/>
              </w:rPr>
              <w:t xml:space="preserve"> Target for</w:t>
            </w:r>
          </w:p>
        </w:tc>
      </w:tr>
      <w:tr>
        <w:trPr>
          <w:trHeight w:val="234"/>
        </w:trPr>
        <w:tc>
          <w:tcPr>
            <w:tcW w:w="20" w:type="dxa"/>
            <w:vAlign w:val="bottom"/>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Vesting</w:t>
            </w:r>
            <w:r>
              <w:rPr>
                <w:rFonts w:ascii="Arial" w:cs="Arial" w:eastAsia="Arial" w:hAnsi="Arial"/>
                <w:sz w:val="15"/>
                <w:szCs w:val="15"/>
                <w:b w:val="1"/>
                <w:bCs w:val="1"/>
                <w:color w:val="auto"/>
              </w:rPr>
              <w:t>3</w:t>
            </w:r>
          </w:p>
        </w:tc>
        <w:tc>
          <w:tcPr>
            <w:tcW w:w="31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100% Vesting</w:t>
            </w:r>
          </w:p>
        </w:tc>
      </w:tr>
      <w:tr>
        <w:trPr>
          <w:trHeight w:val="209"/>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62,500</w:t>
            </w:r>
          </w:p>
        </w:tc>
        <w:tc>
          <w:tcPr>
            <w:tcW w:w="2600" w:type="dxa"/>
            <w:vAlign w:val="bottom"/>
          </w:tcPr>
          <w:p>
            <w:pPr>
              <w:ind w:left="560"/>
              <w:spacing w:after="0"/>
              <w:rPr>
                <w:sz w:val="20"/>
                <w:szCs w:val="20"/>
                <w:color w:val="auto"/>
              </w:rPr>
            </w:pPr>
            <w:r>
              <w:rPr>
                <w:rFonts w:ascii="Arial" w:cs="Arial" w:eastAsia="Arial" w:hAnsi="Arial"/>
                <w:sz w:val="18"/>
                <w:szCs w:val="18"/>
                <w:color w:val="auto"/>
              </w:rPr>
              <w:t>End of fiscal year 2005</w:t>
            </w:r>
          </w:p>
        </w:tc>
        <w:tc>
          <w:tcPr>
            <w:tcW w:w="3820" w:type="dxa"/>
            <w:vAlign w:val="bottom"/>
          </w:tcPr>
          <w:p>
            <w:pPr>
              <w:ind w:left="360"/>
              <w:spacing w:after="0"/>
              <w:rPr>
                <w:sz w:val="20"/>
                <w:szCs w:val="20"/>
                <w:color w:val="auto"/>
              </w:rPr>
            </w:pPr>
            <w:r>
              <w:rPr>
                <w:rFonts w:ascii="Arial" w:cs="Arial" w:eastAsia="Arial" w:hAnsi="Arial"/>
                <w:sz w:val="18"/>
                <w:szCs w:val="18"/>
                <w:color w:val="auto"/>
              </w:rPr>
              <w:t>For fiscal year 2005, net income equal to</w:t>
            </w:r>
          </w:p>
        </w:tc>
        <w:tc>
          <w:tcPr>
            <w:tcW w:w="3140" w:type="dxa"/>
            <w:vAlign w:val="bottom"/>
          </w:tcPr>
          <w:p>
            <w:pPr>
              <w:ind w:left="160"/>
              <w:spacing w:after="0"/>
              <w:rPr>
                <w:sz w:val="20"/>
                <w:szCs w:val="20"/>
                <w:color w:val="auto"/>
              </w:rPr>
            </w:pPr>
            <w:r>
              <w:rPr>
                <w:rFonts w:ascii="Arial" w:cs="Arial" w:eastAsia="Arial" w:hAnsi="Arial"/>
                <w:sz w:val="18"/>
                <w:szCs w:val="18"/>
                <w:color w:val="auto"/>
                <w:w w:val="91"/>
              </w:rPr>
              <w:t>For fiscal year 2005, net income equal to</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820" w:type="dxa"/>
            <w:vAlign w:val="bottom"/>
          </w:tcPr>
          <w:p>
            <w:pPr>
              <w:ind w:left="360"/>
              <w:spacing w:after="0"/>
              <w:rPr>
                <w:sz w:val="20"/>
                <w:szCs w:val="20"/>
                <w:color w:val="auto"/>
              </w:rPr>
            </w:pPr>
            <w:r>
              <w:rPr>
                <w:rFonts w:ascii="Arial" w:cs="Arial" w:eastAsia="Arial" w:hAnsi="Arial"/>
                <w:sz w:val="18"/>
                <w:szCs w:val="18"/>
                <w:color w:val="auto"/>
                <w:w w:val="99"/>
              </w:rPr>
              <w:t>$197,529,000 (prior to reduction for “Award</w:t>
            </w:r>
          </w:p>
        </w:tc>
        <w:tc>
          <w:tcPr>
            <w:tcW w:w="3140" w:type="dxa"/>
            <w:vAlign w:val="bottom"/>
          </w:tcPr>
          <w:p>
            <w:pPr>
              <w:ind w:left="160"/>
              <w:spacing w:after="0"/>
              <w:rPr>
                <w:sz w:val="20"/>
                <w:szCs w:val="20"/>
                <w:color w:val="auto"/>
              </w:rPr>
            </w:pPr>
            <w:r>
              <w:rPr>
                <w:rFonts w:ascii="Arial" w:cs="Arial" w:eastAsia="Arial" w:hAnsi="Arial"/>
                <w:sz w:val="18"/>
                <w:szCs w:val="18"/>
                <w:color w:val="auto"/>
                <w:w w:val="91"/>
              </w:rPr>
              <w:t>$240,858,000 minus the Award Expense</w:t>
            </w:r>
          </w:p>
        </w:tc>
      </w:tr>
      <w:tr>
        <w:trPr>
          <w:trHeight w:val="230"/>
        </w:trPr>
        <w:tc>
          <w:tcPr>
            <w:tcW w:w="20" w:type="dxa"/>
            <w:vAlign w:val="bottom"/>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Expense"</w:t>
            </w:r>
            <w:r>
              <w:rPr>
                <w:rFonts w:ascii="Arial" w:cs="Arial" w:eastAsia="Arial" w:hAnsi="Arial"/>
                <w:sz w:val="15"/>
                <w:szCs w:val="15"/>
                <w:color w:val="auto"/>
              </w:rPr>
              <w:t>4</w:t>
            </w:r>
            <w:r>
              <w:rPr>
                <w:rFonts w:ascii="Arial" w:cs="Arial" w:eastAsia="Arial" w:hAnsi="Arial"/>
                <w:sz w:val="18"/>
                <w:szCs w:val="18"/>
                <w:color w:val="auto"/>
              </w:rPr>
              <w:t xml:space="preserve"> for fiscal year 2005).</w:t>
            </w:r>
          </w:p>
        </w:tc>
        <w:tc>
          <w:tcPr>
            <w:tcW w:w="31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for fiscal year 2005.</w:t>
            </w:r>
          </w:p>
        </w:tc>
      </w:tr>
      <w:tr>
        <w:trPr>
          <w:trHeight w:val="209"/>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62,500</w:t>
            </w:r>
          </w:p>
        </w:tc>
        <w:tc>
          <w:tcPr>
            <w:tcW w:w="2600" w:type="dxa"/>
            <w:vAlign w:val="bottom"/>
          </w:tcPr>
          <w:p>
            <w:pPr>
              <w:ind w:left="560"/>
              <w:spacing w:after="0"/>
              <w:rPr>
                <w:sz w:val="20"/>
                <w:szCs w:val="20"/>
                <w:color w:val="auto"/>
              </w:rPr>
            </w:pPr>
            <w:r>
              <w:rPr>
                <w:rFonts w:ascii="Arial" w:cs="Arial" w:eastAsia="Arial" w:hAnsi="Arial"/>
                <w:sz w:val="18"/>
                <w:szCs w:val="18"/>
                <w:color w:val="auto"/>
              </w:rPr>
              <w:t>End of fiscal year 2006</w:t>
            </w:r>
          </w:p>
        </w:tc>
        <w:tc>
          <w:tcPr>
            <w:tcW w:w="3820" w:type="dxa"/>
            <w:vAlign w:val="bottom"/>
          </w:tcPr>
          <w:p>
            <w:pPr>
              <w:ind w:left="360"/>
              <w:spacing w:after="0"/>
              <w:rPr>
                <w:sz w:val="20"/>
                <w:szCs w:val="20"/>
                <w:color w:val="auto"/>
              </w:rPr>
            </w:pPr>
            <w:r>
              <w:rPr>
                <w:rFonts w:ascii="Arial" w:cs="Arial" w:eastAsia="Arial" w:hAnsi="Arial"/>
                <w:sz w:val="18"/>
                <w:szCs w:val="18"/>
                <w:color w:val="auto"/>
                <w:w w:val="95"/>
              </w:rPr>
              <w:t>For fiscal years 2005 — 2006, cumulative net</w:t>
            </w:r>
          </w:p>
        </w:tc>
        <w:tc>
          <w:tcPr>
            <w:tcW w:w="3140" w:type="dxa"/>
            <w:vAlign w:val="bottom"/>
          </w:tcPr>
          <w:p>
            <w:pPr>
              <w:ind w:left="160"/>
              <w:spacing w:after="0"/>
              <w:rPr>
                <w:sz w:val="20"/>
                <w:szCs w:val="20"/>
                <w:color w:val="auto"/>
              </w:rPr>
            </w:pPr>
            <w:r>
              <w:rPr>
                <w:rFonts w:ascii="Arial" w:cs="Arial" w:eastAsia="Arial" w:hAnsi="Arial"/>
                <w:sz w:val="18"/>
                <w:szCs w:val="18"/>
                <w:color w:val="auto"/>
              </w:rPr>
              <w:t>For fiscal years 2005 — 2006,</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820" w:type="dxa"/>
            <w:vAlign w:val="bottom"/>
          </w:tcPr>
          <w:p>
            <w:pPr>
              <w:ind w:left="360"/>
              <w:spacing w:after="0"/>
              <w:rPr>
                <w:sz w:val="20"/>
                <w:szCs w:val="20"/>
                <w:color w:val="auto"/>
              </w:rPr>
            </w:pPr>
            <w:r>
              <w:rPr>
                <w:rFonts w:ascii="Arial" w:cs="Arial" w:eastAsia="Arial" w:hAnsi="Arial"/>
                <w:sz w:val="18"/>
                <w:szCs w:val="18"/>
                <w:color w:val="auto"/>
              </w:rPr>
              <w:t>income equal to $408,886,000 (prior to</w:t>
            </w:r>
          </w:p>
        </w:tc>
        <w:tc>
          <w:tcPr>
            <w:tcW w:w="3140" w:type="dxa"/>
            <w:vAlign w:val="bottom"/>
          </w:tcPr>
          <w:p>
            <w:pPr>
              <w:ind w:left="160"/>
              <w:spacing w:after="0"/>
              <w:rPr>
                <w:sz w:val="20"/>
                <w:szCs w:val="20"/>
                <w:color w:val="auto"/>
              </w:rPr>
            </w:pPr>
            <w:r>
              <w:rPr>
                <w:rFonts w:ascii="Arial" w:cs="Arial" w:eastAsia="Arial" w:hAnsi="Arial"/>
                <w:sz w:val="18"/>
                <w:szCs w:val="18"/>
                <w:color w:val="auto"/>
              </w:rPr>
              <w:t>cumulative net income equal to</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820" w:type="dxa"/>
            <w:vAlign w:val="bottom"/>
          </w:tcPr>
          <w:p>
            <w:pPr>
              <w:ind w:left="360"/>
              <w:spacing w:after="0"/>
              <w:rPr>
                <w:sz w:val="20"/>
                <w:szCs w:val="20"/>
                <w:color w:val="auto"/>
              </w:rPr>
            </w:pPr>
            <w:r>
              <w:rPr>
                <w:rFonts w:ascii="Arial" w:cs="Arial" w:eastAsia="Arial" w:hAnsi="Arial"/>
                <w:sz w:val="18"/>
                <w:szCs w:val="18"/>
                <w:color w:val="auto"/>
                <w:w w:val="98"/>
              </w:rPr>
              <w:t>reduction for cumulative Award Expense for</w:t>
            </w:r>
          </w:p>
        </w:tc>
        <w:tc>
          <w:tcPr>
            <w:tcW w:w="3140" w:type="dxa"/>
            <w:vAlign w:val="bottom"/>
          </w:tcPr>
          <w:p>
            <w:pPr>
              <w:ind w:left="160"/>
              <w:spacing w:after="0"/>
              <w:rPr>
                <w:sz w:val="20"/>
                <w:szCs w:val="20"/>
                <w:color w:val="auto"/>
              </w:rPr>
            </w:pPr>
            <w:r>
              <w:rPr>
                <w:rFonts w:ascii="Arial" w:cs="Arial" w:eastAsia="Arial" w:hAnsi="Arial"/>
                <w:sz w:val="18"/>
                <w:szCs w:val="18"/>
                <w:color w:val="auto"/>
              </w:rPr>
              <w:t>$507,609,000 minus the cumulative</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820" w:type="dxa"/>
            <w:vAlign w:val="bottom"/>
          </w:tcPr>
          <w:p>
            <w:pPr>
              <w:ind w:left="360"/>
              <w:spacing w:after="0"/>
              <w:rPr>
                <w:sz w:val="20"/>
                <w:szCs w:val="20"/>
                <w:color w:val="auto"/>
              </w:rPr>
            </w:pPr>
            <w:r>
              <w:rPr>
                <w:rFonts w:ascii="Arial" w:cs="Arial" w:eastAsia="Arial" w:hAnsi="Arial"/>
                <w:sz w:val="18"/>
                <w:szCs w:val="18"/>
                <w:color w:val="auto"/>
              </w:rPr>
              <w:t>fiscal years 2005 — 2006).</w:t>
            </w:r>
          </w:p>
        </w:tc>
        <w:tc>
          <w:tcPr>
            <w:tcW w:w="3140" w:type="dxa"/>
            <w:vAlign w:val="bottom"/>
          </w:tcPr>
          <w:p>
            <w:pPr>
              <w:ind w:left="160"/>
              <w:spacing w:after="0"/>
              <w:rPr>
                <w:sz w:val="20"/>
                <w:szCs w:val="20"/>
                <w:color w:val="auto"/>
              </w:rPr>
            </w:pPr>
            <w:r>
              <w:rPr>
                <w:rFonts w:ascii="Arial" w:cs="Arial" w:eastAsia="Arial" w:hAnsi="Arial"/>
                <w:sz w:val="18"/>
                <w:szCs w:val="18"/>
                <w:color w:val="auto"/>
                <w:w w:val="93"/>
              </w:rPr>
              <w:t>Award Expense for fiscal years 2005 —</w:t>
            </w:r>
          </w:p>
        </w:tc>
      </w:tr>
      <w:tr>
        <w:trPr>
          <w:trHeight w:val="230"/>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2006.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jc w:val="right"/>
              <w:ind w:right="870"/>
              <w:spacing w:after="0"/>
              <w:rPr>
                <w:sz w:val="20"/>
                <w:szCs w:val="20"/>
                <w:color w:val="auto"/>
              </w:rPr>
            </w:pPr>
            <w:r>
              <w:rPr>
                <w:rFonts w:ascii="Arial" w:cs="Arial" w:eastAsia="Arial" w:hAnsi="Arial"/>
                <w:sz w:val="18"/>
                <w:szCs w:val="18"/>
                <w:color w:val="auto"/>
                <w:w w:val="87"/>
              </w:rPr>
              <w:t>62,500</w:t>
            </w:r>
          </w:p>
        </w:tc>
        <w:tc>
          <w:tcPr>
            <w:tcW w:w="3000" w:type="dxa"/>
            <w:vAlign w:val="bottom"/>
          </w:tcPr>
          <w:p>
            <w:pPr>
              <w:ind w:left="960"/>
              <w:spacing w:after="0"/>
              <w:rPr>
                <w:sz w:val="20"/>
                <w:szCs w:val="20"/>
                <w:color w:val="auto"/>
              </w:rPr>
            </w:pPr>
            <w:r>
              <w:rPr>
                <w:rFonts w:ascii="Arial" w:cs="Arial" w:eastAsia="Arial" w:hAnsi="Arial"/>
                <w:sz w:val="18"/>
                <w:szCs w:val="18"/>
                <w:color w:val="auto"/>
              </w:rPr>
              <w:t>End of fiscal year 2007</w:t>
            </w:r>
          </w:p>
        </w:tc>
        <w:tc>
          <w:tcPr>
            <w:tcW w:w="3660" w:type="dxa"/>
            <w:vAlign w:val="bottom"/>
          </w:tcPr>
          <w:p>
            <w:pPr>
              <w:ind w:left="360"/>
              <w:spacing w:after="0"/>
              <w:rPr>
                <w:sz w:val="20"/>
                <w:szCs w:val="20"/>
                <w:color w:val="auto"/>
              </w:rPr>
            </w:pPr>
            <w:r>
              <w:rPr>
                <w:rFonts w:ascii="Arial" w:cs="Arial" w:eastAsia="Arial" w:hAnsi="Arial"/>
                <w:sz w:val="18"/>
                <w:szCs w:val="18"/>
                <w:color w:val="auto"/>
                <w:w w:val="90"/>
              </w:rPr>
              <w:t>For fiscal years 2005 — 2007, cumulative net</w:t>
            </w:r>
          </w:p>
        </w:tc>
      </w:tr>
      <w:tr>
        <w:trPr>
          <w:trHeight w:val="216"/>
        </w:trPr>
        <w:tc>
          <w:tcPr>
            <w:tcW w:w="14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income equal to $635,038,000 (prior to</w:t>
            </w:r>
          </w:p>
        </w:tc>
      </w:tr>
      <w:tr>
        <w:trPr>
          <w:trHeight w:val="216"/>
        </w:trPr>
        <w:tc>
          <w:tcPr>
            <w:tcW w:w="14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w w:val="94"/>
              </w:rPr>
              <w:t>reduction for cumulative Award Expense for</w:t>
            </w:r>
          </w:p>
        </w:tc>
      </w:tr>
      <w:tr>
        <w:trPr>
          <w:trHeight w:val="230"/>
        </w:trPr>
        <w:tc>
          <w:tcPr>
            <w:tcW w:w="14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fiscal years 2005 — 2007).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13036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For fiscal years 2005 — 2007,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cumulative net income equal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$818,058,000 minus the cumulative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Award Expense for fiscal years 2005 —</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2007.</w:t>
      </w:r>
    </w:p>
    <w:p>
      <w:pPr>
        <w:spacing w:after="0" w:line="200" w:lineRule="exact"/>
        <w:rPr>
          <w:sz w:val="20"/>
          <w:szCs w:val="20"/>
          <w:color w:val="auto"/>
        </w:rPr>
      </w:pPr>
    </w:p>
    <w:p>
      <w:pPr>
        <w:sectPr>
          <w:pgSz w:w="11900" w:h="16838" w:orient="portrait"/>
          <w:cols w:equalWidth="0" w:num="2">
            <w:col w:w="8120" w:space="320"/>
            <w:col w:w="2980"/>
          </w:cols>
          <w:pgMar w:left="240" w:top="931" w:right="239" w:bottom="1440" w:gutter="0" w:footer="0" w:header="0"/>
          <w:type w:val="continuous"/>
        </w:sectPr>
      </w:pPr>
    </w:p>
    <w:p>
      <w:pPr>
        <w:spacing w:after="0" w:line="200" w:lineRule="exact"/>
        <w:rPr>
          <w:sz w:val="20"/>
          <w:szCs w:val="20"/>
          <w:color w:val="auto"/>
        </w:rPr>
      </w:pPr>
    </w:p>
    <w:p>
      <w:pPr>
        <w:ind w:left="160" w:hanging="123"/>
        <w:spacing w:after="0"/>
        <w:tabs>
          <w:tab w:leader="none" w:pos="160" w:val="left"/>
        </w:tabs>
        <w:numPr>
          <w:ilvl w:val="0"/>
          <w:numId w:val="88"/>
        </w:numPr>
        <w:rPr>
          <w:rFonts w:ascii="Arial" w:cs="Arial" w:eastAsia="Arial" w:hAnsi="Arial"/>
          <w:sz w:val="15"/>
          <w:szCs w:val="15"/>
          <w:color w:val="auto"/>
        </w:rPr>
      </w:pPr>
      <w:r>
        <w:rPr>
          <w:rFonts w:ascii="Arial" w:cs="Arial" w:eastAsia="Arial" w:hAnsi="Arial"/>
          <w:sz w:val="18"/>
          <w:szCs w:val="18"/>
          <w:color w:val="auto"/>
        </w:rPr>
        <w:t>All references to “fiscal year” shall be without regard to any future changes to the Company’s fiscal year.</w:t>
      </w:r>
    </w:p>
    <w:p>
      <w:pPr>
        <w:spacing w:after="0" w:line="185" w:lineRule="exact"/>
        <w:rPr>
          <w:sz w:val="20"/>
          <w:szCs w:val="20"/>
          <w:color w:val="auto"/>
        </w:rPr>
      </w:pPr>
    </w:p>
    <w:p>
      <w:pPr>
        <w:ind w:left="580" w:right="260" w:hanging="543"/>
        <w:spacing w:after="0" w:line="259" w:lineRule="auto"/>
        <w:tabs>
          <w:tab w:leader="none" w:pos="160" w:val="left"/>
        </w:tabs>
        <w:numPr>
          <w:ilvl w:val="0"/>
          <w:numId w:val="89"/>
        </w:numPr>
        <w:rPr>
          <w:rFonts w:ascii="Arial" w:cs="Arial" w:eastAsia="Arial" w:hAnsi="Arial"/>
          <w:sz w:val="15"/>
          <w:szCs w:val="15"/>
          <w:color w:val="auto"/>
        </w:rPr>
      </w:pPr>
      <w:r>
        <w:rPr>
          <w:rFonts w:ascii="Arial" w:cs="Arial" w:eastAsia="Arial" w:hAnsi="Arial"/>
          <w:sz w:val="18"/>
          <w:szCs w:val="18"/>
          <w:color w:val="auto"/>
        </w:rPr>
        <w:t>Net income shall be determined taking into account the performance of RL Childrenswear Company LLC. All net income targets shall otherwise be adjusted to omit the effects of extraordinary items; gain or loss on the disposal of a business segment; unusual or infrequently occurring events and transactions (including, without limitation, restructuring charges); and cumulative effects of changes in accounting principles; and changes to the Company’s fiscal year.</w:t>
      </w:r>
    </w:p>
    <w:p>
      <w:pPr>
        <w:spacing w:after="0" w:line="146" w:lineRule="exact"/>
        <w:rPr>
          <w:sz w:val="20"/>
          <w:szCs w:val="20"/>
          <w:color w:val="auto"/>
        </w:rPr>
      </w:pPr>
    </w:p>
    <w:p>
      <w:pPr>
        <w:ind w:left="160" w:hanging="123"/>
        <w:spacing w:after="0"/>
        <w:tabs>
          <w:tab w:leader="none" w:pos="160" w:val="left"/>
        </w:tabs>
        <w:numPr>
          <w:ilvl w:val="0"/>
          <w:numId w:val="90"/>
        </w:numPr>
        <w:rPr>
          <w:rFonts w:ascii="Arial" w:cs="Arial" w:eastAsia="Arial" w:hAnsi="Arial"/>
          <w:sz w:val="15"/>
          <w:szCs w:val="15"/>
          <w:color w:val="auto"/>
        </w:rPr>
      </w:pPr>
      <w:r>
        <w:rPr>
          <w:rFonts w:ascii="Arial" w:cs="Arial" w:eastAsia="Arial" w:hAnsi="Arial"/>
          <w:sz w:val="18"/>
          <w:szCs w:val="18"/>
          <w:color w:val="auto"/>
        </w:rPr>
        <w:t>50% vesting at end of fiscal 2005; 60% vesting at end of fiscal year 2006; and 75% vesting at end of fiscal year 2007.</w:t>
      </w:r>
    </w:p>
    <w:p>
      <w:pPr>
        <w:spacing w:after="0" w:line="198" w:lineRule="exact"/>
        <w:rPr>
          <w:sz w:val="20"/>
          <w:szCs w:val="20"/>
          <w:color w:val="auto"/>
        </w:rPr>
      </w:pPr>
    </w:p>
    <w:p>
      <w:pPr>
        <w:ind w:left="580" w:right="100" w:hanging="543"/>
        <w:spacing w:after="0" w:line="277" w:lineRule="auto"/>
        <w:tabs>
          <w:tab w:leader="none" w:pos="160" w:val="left"/>
        </w:tabs>
        <w:numPr>
          <w:ilvl w:val="0"/>
          <w:numId w:val="91"/>
        </w:numPr>
        <w:rPr>
          <w:rFonts w:ascii="Arial" w:cs="Arial" w:eastAsia="Arial" w:hAnsi="Arial"/>
          <w:sz w:val="15"/>
          <w:szCs w:val="15"/>
          <w:color w:val="auto"/>
        </w:rPr>
      </w:pPr>
      <w:r>
        <w:rPr>
          <w:rFonts w:ascii="Arial" w:cs="Arial" w:eastAsia="Arial" w:hAnsi="Arial"/>
          <w:sz w:val="18"/>
          <w:szCs w:val="18"/>
          <w:color w:val="auto"/>
        </w:rPr>
        <w:t>“Award Expense” shall mean the after-tax expense to the Company attributable to the grant of restricted stock unit awards pursuant to Amendment No.1 to the Employment Agreement with Mr. Farah.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931" w:right="239" w:bottom="1440" w:gutter="0" w:footer="0" w:header="0"/>
          <w:type w:val="continuous"/>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10.19</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POLO RALPH LAUREN CORPORATION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AWARD AGREEMENT</w:t>
      </w:r>
    </w:p>
    <w:p>
      <w:pPr>
        <w:spacing w:after="0" w:line="189"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THIS AGREEMENT (the “Agreement”) is made effective as of the 23rd day of July 2002 (the “Grant Date”), between Polo Ralph Lauren Corporation, a Delaware corporation (hereinafter called the “Company”), and Roger N. Farah (hereinafter called the “Participant”).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r>
        <w:rPr>
          <w:rFonts w:ascii="Arial" w:cs="Arial" w:eastAsia="Arial" w:hAnsi="Arial"/>
          <w:sz w:val="18"/>
          <w:szCs w:val="18"/>
          <w:color w:val="auto"/>
        </w:rPr>
        <w:t>:</w:t>
      </w:r>
    </w:p>
    <w:p>
      <w:pPr>
        <w:spacing w:after="0" w:line="185" w:lineRule="exact"/>
        <w:rPr>
          <w:sz w:val="20"/>
          <w:szCs w:val="20"/>
          <w:color w:val="auto"/>
        </w:rPr>
      </w:pPr>
    </w:p>
    <w:p>
      <w:pPr>
        <w:ind w:right="60" w:firstLine="222"/>
        <w:spacing w:after="0" w:line="342" w:lineRule="auto"/>
        <w:rPr>
          <w:sz w:val="20"/>
          <w:szCs w:val="20"/>
          <w:color w:val="auto"/>
        </w:rPr>
      </w:pPr>
      <w:r>
        <w:rPr>
          <w:rFonts w:ascii="Arial" w:cs="Arial" w:eastAsia="Arial" w:hAnsi="Arial"/>
          <w:sz w:val="16"/>
          <w:szCs w:val="16"/>
          <w:color w:val="auto"/>
        </w:rPr>
        <w:t>WHEREAS, the Company has adopted the Polo Ralph Lauren Corporation 1997 Long-Term Stock Incentive Plan (the “Plan”), which Plan is incorporated herein by reference and made a part of this Agreement. Capitalized terms not otherwise defined herein shall have the same meanings as in the Plan; and</w:t>
      </w:r>
    </w:p>
    <w:p>
      <w:pPr>
        <w:spacing w:after="0" w:line="83" w:lineRule="exact"/>
        <w:rPr>
          <w:sz w:val="20"/>
          <w:szCs w:val="20"/>
          <w:color w:val="auto"/>
        </w:rPr>
      </w:pPr>
    </w:p>
    <w:p>
      <w:pPr>
        <w:ind w:right="260" w:firstLine="222"/>
        <w:spacing w:after="0" w:line="308" w:lineRule="auto"/>
        <w:rPr>
          <w:sz w:val="20"/>
          <w:szCs w:val="20"/>
          <w:color w:val="auto"/>
        </w:rPr>
      </w:pPr>
      <w:r>
        <w:rPr>
          <w:rFonts w:ascii="Arial" w:cs="Arial" w:eastAsia="Arial" w:hAnsi="Arial"/>
          <w:sz w:val="17"/>
          <w:szCs w:val="17"/>
          <w:color w:val="auto"/>
        </w:rPr>
        <w:t>WHEREAS, the Committee has determined that it would be in the best interests of the Company and its stockholders to grant the restricted stock award provided for herein (the “Restricted Stock Award”) to the Participant pursuant to the Plan and the terms set forth herein.</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in consideration of the mutual covenants hereinafter set forth, the parties hereto agree as follows:</w:t>
      </w:r>
    </w:p>
    <w:p>
      <w:pPr>
        <w:spacing w:after="0" w:line="185" w:lineRule="exact"/>
        <w:rPr>
          <w:sz w:val="20"/>
          <w:szCs w:val="20"/>
          <w:color w:val="auto"/>
        </w:rPr>
      </w:pPr>
    </w:p>
    <w:p>
      <w:pPr>
        <w:ind w:right="140" w:firstLine="233"/>
        <w:spacing w:after="0" w:line="264" w:lineRule="auto"/>
        <w:tabs>
          <w:tab w:leader="none" w:pos="405"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Grant of the Restricted Shares</w:t>
      </w:r>
      <w:r>
        <w:rPr>
          <w:rFonts w:ascii="Arial" w:cs="Arial" w:eastAsia="Arial" w:hAnsi="Arial"/>
          <w:sz w:val="18"/>
          <w:szCs w:val="18"/>
          <w:color w:val="auto"/>
        </w:rPr>
        <w:t>. Subject to the terms and conditions of the Plan and the additional terms and conditions set forth in this Agreement, the Company hereby grants to the Participant a Restricted Stock Award consisting of 300,000 Shares (hereinafter called the “Restricted Shares”). The Restricted Shares shall vest and become nonforfeitable in accordance with Section 2 hereof.</w:t>
      </w:r>
    </w:p>
    <w:p>
      <w:pPr>
        <w:spacing w:after="0" w:line="140" w:lineRule="exact"/>
        <w:rPr>
          <w:rFonts w:ascii="Arial" w:cs="Arial" w:eastAsia="Arial" w:hAnsi="Arial"/>
          <w:sz w:val="18"/>
          <w:szCs w:val="18"/>
          <w:color w:val="auto"/>
        </w:rPr>
      </w:pPr>
    </w:p>
    <w:p>
      <w:pPr>
        <w:ind w:left="420" w:hanging="187"/>
        <w:spacing w:after="0"/>
        <w:tabs>
          <w:tab w:leader="none" w:pos="42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firstLine="458"/>
        <w:spacing w:after="0" w:line="259" w:lineRule="auto"/>
        <w:tabs>
          <w:tab w:leader="none" w:pos="695" w:val="left"/>
        </w:tabs>
        <w:numPr>
          <w:ilvl w:val="1"/>
          <w:numId w:val="92"/>
        </w:numPr>
        <w:rPr>
          <w:rFonts w:ascii="Arial" w:cs="Arial" w:eastAsia="Arial" w:hAnsi="Arial"/>
          <w:sz w:val="18"/>
          <w:szCs w:val="18"/>
          <w:color w:val="auto"/>
        </w:rPr>
      </w:pPr>
      <w:r>
        <w:rPr>
          <w:rFonts w:ascii="Arial" w:cs="Arial" w:eastAsia="Arial" w:hAnsi="Arial"/>
          <w:sz w:val="18"/>
          <w:szCs w:val="18"/>
          <w:color w:val="auto"/>
        </w:rPr>
        <w:t>Subject to the Participant’s continued employment with the Company, the Restricted Shares shall vest and become nonforfeitable with respect to one fifth (1/5) of the Shares initially granted hereunder on each of the first five anniversaries of the Grant Date. Notwithstanding the foregoing, in the event the above vesting schedule results in the vesting of any fractional Shares, such fractional Shares shall not be deemed vested hereunder but shall vest and become nonforfeitable when such fractional Shares aggregate whole Shares.</w:t>
      </w:r>
    </w:p>
    <w:p>
      <w:pPr>
        <w:spacing w:after="0" w:line="146" w:lineRule="exact"/>
        <w:rPr>
          <w:rFonts w:ascii="Arial" w:cs="Arial" w:eastAsia="Arial" w:hAnsi="Arial"/>
          <w:sz w:val="18"/>
          <w:szCs w:val="18"/>
          <w:color w:val="auto"/>
        </w:rPr>
      </w:pPr>
    </w:p>
    <w:p>
      <w:pPr>
        <w:ind w:right="120" w:firstLine="458"/>
        <w:spacing w:after="0" w:line="297" w:lineRule="auto"/>
        <w:tabs>
          <w:tab w:leader="none" w:pos="705" w:val="left"/>
        </w:tabs>
        <w:numPr>
          <w:ilvl w:val="1"/>
          <w:numId w:val="92"/>
        </w:numPr>
        <w:rPr>
          <w:rFonts w:ascii="Arial" w:cs="Arial" w:eastAsia="Arial" w:hAnsi="Arial"/>
          <w:sz w:val="16"/>
          <w:szCs w:val="16"/>
          <w:color w:val="auto"/>
        </w:rPr>
      </w:pPr>
      <w:r>
        <w:rPr>
          <w:rFonts w:ascii="Arial" w:cs="Arial" w:eastAsia="Arial" w:hAnsi="Arial"/>
          <w:sz w:val="16"/>
          <w:szCs w:val="16"/>
          <w:color w:val="auto"/>
        </w:rPr>
        <w:t>(i) If the Participant’s employment with the Company is terminated by the Participant for Good Reason (as defined below) or by the Company without Cause (as defined below) (other than as a result of the Company’s election not to extend the Term of the Employment Agreement (as defined below) as contemplated by Section 2 of the Employment Agreement, or by reason of death or Disability (as defined below)), then the Restricted Shares shall vest with respect to the greater of (x) the percentage of Restricted Shares that otherwise would have vested on the next anniversary of the Grant Date if no such termination had occurred and (y) the percentage of Restricted Shares so that, in the aggregate, 150,000 Restricted Shares would then be vested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356235</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5" w:name="page126"/>
    <w:bookmarkEnd w:id="125"/>
    <w:p>
      <w:pPr>
        <w:ind w:left="-8" w:right="420" w:firstLine="683"/>
        <w:spacing w:after="0" w:line="277" w:lineRule="auto"/>
        <w:tabs>
          <w:tab w:leader="none" w:pos="932" w:val="left"/>
        </w:tabs>
        <w:numPr>
          <w:ilvl w:val="3"/>
          <w:numId w:val="93"/>
        </w:numPr>
        <w:rPr>
          <w:rFonts w:ascii="Arial" w:cs="Arial" w:eastAsia="Arial" w:hAnsi="Arial"/>
          <w:sz w:val="18"/>
          <w:szCs w:val="18"/>
          <w:color w:val="auto"/>
        </w:rPr>
      </w:pPr>
      <w:r>
        <w:rPr>
          <w:rFonts w:ascii="Arial" w:cs="Arial" w:eastAsia="Arial" w:hAnsi="Arial"/>
          <w:sz w:val="18"/>
          <w:szCs w:val="18"/>
          <w:color w:val="auto"/>
        </w:rPr>
        <w:t>If the Participant’s employment with the Company is terminated for any reason other than as set forth in Section 2(b)(i), then the Restricted Shares shall, to the extent not then vested, be forfeited by the Participant without consideration.</w:t>
      </w:r>
    </w:p>
    <w:p>
      <w:pPr>
        <w:spacing w:after="0" w:line="143" w:lineRule="exact"/>
        <w:rPr>
          <w:rFonts w:ascii="Arial" w:cs="Arial" w:eastAsia="Arial" w:hAnsi="Arial"/>
          <w:sz w:val="18"/>
          <w:szCs w:val="18"/>
          <w:color w:val="auto"/>
        </w:rPr>
      </w:pPr>
    </w:p>
    <w:p>
      <w:pPr>
        <w:ind w:left="-8" w:right="200" w:firstLine="683"/>
        <w:spacing w:after="0" w:line="264" w:lineRule="auto"/>
        <w:tabs>
          <w:tab w:leader="none" w:pos="982" w:val="left"/>
        </w:tabs>
        <w:numPr>
          <w:ilvl w:val="3"/>
          <w:numId w:val="93"/>
        </w:numPr>
        <w:rPr>
          <w:rFonts w:ascii="Arial" w:cs="Arial" w:eastAsia="Arial" w:hAnsi="Arial"/>
          <w:sz w:val="18"/>
          <w:szCs w:val="18"/>
          <w:color w:val="auto"/>
        </w:rPr>
      </w:pPr>
      <w:r>
        <w:rPr>
          <w:rFonts w:ascii="Arial" w:cs="Arial" w:eastAsia="Arial" w:hAnsi="Arial"/>
          <w:sz w:val="18"/>
          <w:szCs w:val="18"/>
          <w:color w:val="auto"/>
        </w:rPr>
        <w:t>For purposes of this Agreement the (x) the term “Employment Agreement” shall mean the Amended and Restated Employment Agreement between the Participant and the Company dated as of July 23, 2002 and (y) the terms “Cause,” “Good Reason,” “Disability” and “Change of Control” shall have the respective meanings specified in such Amended and Restated Employment Agreement.</w:t>
      </w:r>
    </w:p>
    <w:p>
      <w:pPr>
        <w:spacing w:after="0" w:line="140" w:lineRule="exact"/>
        <w:rPr>
          <w:rFonts w:ascii="Arial" w:cs="Arial" w:eastAsia="Arial" w:hAnsi="Arial"/>
          <w:sz w:val="18"/>
          <w:szCs w:val="18"/>
          <w:color w:val="auto"/>
        </w:rPr>
      </w:pPr>
    </w:p>
    <w:p>
      <w:pPr>
        <w:ind w:left="-8" w:right="40" w:firstLine="458"/>
        <w:spacing w:after="0" w:line="264" w:lineRule="auto"/>
        <w:tabs>
          <w:tab w:leader="none" w:pos="687" w:val="left"/>
        </w:tabs>
        <w:numPr>
          <w:ilvl w:val="2"/>
          <w:numId w:val="94"/>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to the contrary, in the event of a Change of Control (either as defined in Section 2(b)(iii) above or in the Plan), the Restricted Shares shall, to the extent not then vested and not previously forfeited, immediately become fully vested as contemplated by Section 13 of the Plan.</w:t>
      </w:r>
    </w:p>
    <w:p>
      <w:pPr>
        <w:spacing w:after="0" w:line="140" w:lineRule="exact"/>
        <w:rPr>
          <w:rFonts w:ascii="Arial" w:cs="Arial" w:eastAsia="Arial" w:hAnsi="Arial"/>
          <w:sz w:val="18"/>
          <w:szCs w:val="18"/>
          <w:color w:val="auto"/>
        </w:rPr>
      </w:pPr>
    </w:p>
    <w:p>
      <w:pPr>
        <w:jc w:val="both"/>
        <w:ind w:left="-8" w:right="40" w:firstLine="233"/>
        <w:spacing w:after="0" w:line="302" w:lineRule="auto"/>
        <w:tabs>
          <w:tab w:leader="none" w:pos="397"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Certificates</w:t>
      </w:r>
      <w:r>
        <w:rPr>
          <w:rFonts w:ascii="Arial" w:cs="Arial" w:eastAsia="Arial" w:hAnsi="Arial"/>
          <w:sz w:val="16"/>
          <w:szCs w:val="16"/>
          <w:color w:val="auto"/>
        </w:rPr>
        <w:t>. Certificates evidencing the Restricted Shares shall be issued by the Company and shall be registered in the Participant’s name on the stock transfer books of the Company promptly after the date hereof, but shall remain in the physical custody of the Company or its designee at all times prior to the vesting of such Restricted Shares pursuant to Section 2. As a condition to the receipt of this Restricted Stock Award, the Participant shall deliver to the Company a stock power, duly endorsed in blank, relating to the Restricted Shares. No certificates shall be issued for fractional Shares.</w:t>
      </w:r>
    </w:p>
    <w:p>
      <w:pPr>
        <w:spacing w:after="0" w:line="127" w:lineRule="exact"/>
        <w:rPr>
          <w:rFonts w:ascii="Arial" w:cs="Arial" w:eastAsia="Arial" w:hAnsi="Arial"/>
          <w:sz w:val="16"/>
          <w:szCs w:val="16"/>
          <w:color w:val="auto"/>
        </w:rPr>
      </w:pPr>
    </w:p>
    <w:p>
      <w:pPr>
        <w:ind w:left="-8" w:firstLine="233"/>
        <w:spacing w:after="0" w:line="286" w:lineRule="auto"/>
        <w:tabs>
          <w:tab w:leader="none" w:pos="397"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xml:space="preserve">. The Participant shall be the record owner of the Restricted Shares until or unless such Shares are forfeited pursuant to Section 2 hereof, and as record owner shall be entitled to all rights of a common stockholder of the Company, including, without limitation, voting rights with respect to the Restricted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cash or in-kind dividends paid with respect to the Restricted Shares which have not previously vested shall be withheld by the Company and shall be paid to the Participant only when, and if, such Restricted Shares shall become fully vested pursuant to Section 2 and</w:t>
      </w:r>
    </w:p>
    <w:p>
      <w:pPr>
        <w:spacing w:after="0" w:line="1" w:lineRule="exact"/>
        <w:rPr>
          <w:rFonts w:ascii="Arial" w:cs="Arial" w:eastAsia="Arial" w:hAnsi="Arial"/>
          <w:sz w:val="16"/>
          <w:szCs w:val="16"/>
          <w:color w:val="auto"/>
        </w:rPr>
      </w:pPr>
    </w:p>
    <w:p>
      <w:pPr>
        <w:ind w:left="-8" w:right="40" w:firstLine="8"/>
        <w:spacing w:after="0" w:line="255" w:lineRule="auto"/>
        <w:tabs>
          <w:tab w:leader="none" w:pos="257"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Restricted Shares shall be subject to the limitations on transfer and encumbrance set forth in Section 7. As soon as practicable following the vesting of any Restricted Shares pursuant to Section 2, certificates for the Restricted Shares which shall have vested shall be delivered to the Participant or to the Participant’s legal guardian or representative along with the stock powers relating thereto.</w:t>
      </w:r>
    </w:p>
    <w:p>
      <w:pPr>
        <w:spacing w:after="0" w:line="149" w:lineRule="exact"/>
        <w:rPr>
          <w:rFonts w:ascii="Arial" w:cs="Arial" w:eastAsia="Arial" w:hAnsi="Arial"/>
          <w:sz w:val="18"/>
          <w:szCs w:val="18"/>
          <w:color w:val="auto"/>
        </w:rPr>
      </w:pPr>
    </w:p>
    <w:p>
      <w:pPr>
        <w:ind w:left="-8" w:right="140" w:firstLine="233"/>
        <w:spacing w:after="0" w:line="302" w:lineRule="auto"/>
        <w:tabs>
          <w:tab w:leader="none" w:pos="397"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Legend on Certificates</w:t>
      </w:r>
      <w:r>
        <w:rPr>
          <w:rFonts w:ascii="Arial" w:cs="Arial" w:eastAsia="Arial" w:hAnsi="Arial"/>
          <w:sz w:val="16"/>
          <w:szCs w:val="16"/>
          <w:color w:val="auto"/>
        </w:rPr>
        <w:t>. The certificates representing the vested Restricted Shares delivered to the Participant as contemplated by Section 4 above shall be subject to such stop transfer orders and other restrictions as the Committee may deem advisable under the Plan or the rules, regulations, and other requirements of the Securities and Exchange Commission, any stock exchange upon which such Shares are listed, and any applicable Federal or state laws, and the Committee may cause a legend or legends to be put on any such certificates to make appropriate reference to such restrictions.</w:t>
      </w:r>
    </w:p>
    <w:p>
      <w:pPr>
        <w:spacing w:after="0" w:line="113" w:lineRule="exact"/>
        <w:rPr>
          <w:rFonts w:ascii="Arial" w:cs="Arial" w:eastAsia="Arial" w:hAnsi="Arial"/>
          <w:sz w:val="16"/>
          <w:szCs w:val="16"/>
          <w:color w:val="auto"/>
        </w:rPr>
      </w:pPr>
    </w:p>
    <w:p>
      <w:pPr>
        <w:ind w:left="-8" w:right="420" w:firstLine="233"/>
        <w:spacing w:after="0" w:line="277" w:lineRule="auto"/>
        <w:tabs>
          <w:tab w:leader="none" w:pos="397"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Neither the Plan nor this Agreement shall be construed as giving the Participant the right to be retained in the employ of, or in any</w:t>
      </w:r>
    </w:p>
    <w:p>
      <w:pPr>
        <w:spacing w:after="0" w:line="1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126" w:name="page127"/>
    <w:bookmarkEnd w:id="126"/>
    <w:p>
      <w:pPr>
        <w:ind w:right="400"/>
        <w:spacing w:after="0" w:line="308" w:lineRule="auto"/>
        <w:rPr>
          <w:sz w:val="20"/>
          <w:szCs w:val="20"/>
          <w:color w:val="auto"/>
        </w:rPr>
      </w:pPr>
      <w:r>
        <w:rPr>
          <w:rFonts w:ascii="Arial" w:cs="Arial" w:eastAsia="Arial" w:hAnsi="Arial"/>
          <w:sz w:val="17"/>
          <w:szCs w:val="17"/>
          <w:color w:val="auto"/>
        </w:rPr>
        <w:t>consulting relationship to, the Company or any Affiliate. Further, the Company or an Affiliate may at any time dismiss the Participant or discontinue any consulting relationship, free from any liability or any claim under the Plan or this Agreement, except as otherwise expressly provided herein.</w:t>
      </w:r>
    </w:p>
    <w:p>
      <w:pPr>
        <w:spacing w:after="0" w:line="120" w:lineRule="exact"/>
        <w:rPr>
          <w:sz w:val="20"/>
          <w:szCs w:val="20"/>
          <w:color w:val="auto"/>
        </w:rPr>
      </w:pPr>
    </w:p>
    <w:p>
      <w:pPr>
        <w:ind w:right="280" w:firstLine="233"/>
        <w:spacing w:after="0" w:line="259" w:lineRule="auto"/>
        <w:tabs>
          <w:tab w:leader="none" w:pos="405"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The Restricted Shares may not, at any time prior to becoming vested pursuant to Section 2, be assigned, alienated, pledged, attached, sold or otherwise transferred or encumbered by the Participant and any such purported assignment, alienation, pledge, attachment, sale, transfer or encumbrance shall be void and unenforceable against the Company or any Affiliate; provided that the designation of a beneficiary shall not constitute an assignment, alienation, pledge, attachment, sale, transfer or encumbrance.</w:t>
      </w:r>
    </w:p>
    <w:p>
      <w:pPr>
        <w:spacing w:after="0" w:line="146" w:lineRule="exact"/>
        <w:rPr>
          <w:rFonts w:ascii="Arial" w:cs="Arial" w:eastAsia="Arial" w:hAnsi="Arial"/>
          <w:sz w:val="18"/>
          <w:szCs w:val="18"/>
          <w:color w:val="auto"/>
        </w:rPr>
      </w:pPr>
    </w:p>
    <w:p>
      <w:pPr>
        <w:jc w:val="both"/>
        <w:ind w:firstLine="233"/>
        <w:spacing w:after="0" w:line="293" w:lineRule="auto"/>
        <w:tabs>
          <w:tab w:leader="none" w:pos="405"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By accepting this Restricted Stock Award, the Participant agrees to make appropriate arrangements with the Company for satisfaction of any applicable federal, state or local income tax, withholding requirements or like requirements, including the payment to the Company upon the vesting of the Restricted Shares (or such earlier or later date as may be applicable under Section 83 of the Internal Revenue Code of 1986), or other settlement in respect of, the Restricted Shares of all such taxes and requirements and the Company shall be authorized to take such action as may be necessary in the opinion of the Company’s counsel (including, without limitation, withholding vested Shares otherwise deliverable to Participant hereunder and/or withholding amounts from any compensation or other amount owing from the Company to the Participant ) to satisfy all obligations for the payment of such taxes.</w:t>
      </w:r>
    </w:p>
    <w:p>
      <w:pPr>
        <w:spacing w:after="0" w:line="124" w:lineRule="exact"/>
        <w:rPr>
          <w:rFonts w:ascii="Arial" w:cs="Arial" w:eastAsia="Arial" w:hAnsi="Arial"/>
          <w:sz w:val="16"/>
          <w:szCs w:val="16"/>
          <w:color w:val="auto"/>
        </w:rPr>
      </w:pPr>
    </w:p>
    <w:p>
      <w:pPr>
        <w:ind w:right="720" w:firstLine="233"/>
        <w:spacing w:after="0" w:line="342" w:lineRule="auto"/>
        <w:tabs>
          <w:tab w:leader="none" w:pos="405"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Securities Laws</w:t>
      </w:r>
      <w:r>
        <w:rPr>
          <w:rFonts w:ascii="Arial" w:cs="Arial" w:eastAsia="Arial" w:hAnsi="Arial"/>
          <w:sz w:val="16"/>
          <w:szCs w:val="16"/>
          <w:color w:val="auto"/>
        </w:rPr>
        <w:t>. Upon the vesting of any Restricted Shares, the Participant will make or enter into such written representations, warranties and agreements as the Committee may reasonably request in order to comply with applicable securities laws or with this Agreement.</w:t>
      </w:r>
    </w:p>
    <w:p>
      <w:pPr>
        <w:spacing w:after="0" w:line="96" w:lineRule="exact"/>
        <w:rPr>
          <w:rFonts w:ascii="Arial" w:cs="Arial" w:eastAsia="Arial" w:hAnsi="Arial"/>
          <w:sz w:val="16"/>
          <w:szCs w:val="16"/>
          <w:color w:val="auto"/>
        </w:rPr>
      </w:pPr>
    </w:p>
    <w:p>
      <w:pPr>
        <w:jc w:val="both"/>
        <w:ind w:right="120" w:firstLine="233"/>
        <w:spacing w:after="0" w:line="312" w:lineRule="auto"/>
        <w:tabs>
          <w:tab w:leader="none" w:pos="495"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necessary under this Agreement shall be addressed to the Company in care of its Secretary at the principal executive office of the Company and to the Participant at the address appearing in the personnel records of the Company for such Participant or to either party at such other address as either party hereto may hereafter designate in writing to the other. Any such notice shall be deemed effective upon receipt thereof by the addressee.</w:t>
      </w:r>
    </w:p>
    <w:p>
      <w:pPr>
        <w:spacing w:after="0" w:line="102" w:lineRule="exact"/>
        <w:rPr>
          <w:rFonts w:ascii="Arial" w:cs="Arial" w:eastAsia="Arial" w:hAnsi="Arial"/>
          <w:sz w:val="16"/>
          <w:szCs w:val="16"/>
          <w:color w:val="auto"/>
        </w:rPr>
      </w:pPr>
    </w:p>
    <w:p>
      <w:pPr>
        <w:ind w:left="500" w:hanging="267"/>
        <w:spacing w:after="0"/>
        <w:tabs>
          <w:tab w:leader="none" w:pos="50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xml:space="preserve">. </w:t>
      </w:r>
      <w:r>
        <w:rPr>
          <w:rFonts w:ascii="Arial" w:cs="Arial" w:eastAsia="Arial" w:hAnsi="Arial"/>
          <w:sz w:val="18"/>
          <w:szCs w:val="18"/>
          <w:b w:val="1"/>
          <w:bCs w:val="1"/>
          <w:color w:val="auto"/>
        </w:rPr>
        <w:t>THE INTERPRETATION, PERFORMANCE AND ENFORCEMENT OF THIS AGREEMENT SHALL BE GOVERNED</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BY THE LAWS OF THE STATE OF NEW YORK WITHOUT REGARD TO PRINCIPLES OF CONFLICTS OF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27" w:name="page128"/>
    <w:bookmarkEnd w:id="127"/>
    <w:p>
      <w:pPr>
        <w:ind w:firstLine="233"/>
        <w:spacing w:after="0" w:line="279" w:lineRule="auto"/>
        <w:tabs>
          <w:tab w:leader="none" w:pos="495"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Restricted Stock Award Subject to Plan</w:t>
      </w:r>
      <w:r>
        <w:rPr>
          <w:rFonts w:ascii="Arial" w:cs="Arial" w:eastAsia="Arial" w:hAnsi="Arial"/>
          <w:sz w:val="17"/>
          <w:szCs w:val="17"/>
          <w:color w:val="auto"/>
        </w:rPr>
        <w:t>. By accepting this Agreement and the Award evidenced hereby, the Participant agrees and acknowledges that the Participant has received and read a copy of the Plan. The Restricted Stock Award is subject to the Plan.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60" w:type="dxa"/>
            <w:vAlign w:val="bottom"/>
          </w:tcPr>
          <w:p>
            <w:pPr>
              <w:spacing w:after="0"/>
              <w:rPr>
                <w:sz w:val="20"/>
                <w:szCs w:val="20"/>
                <w:color w:val="auto"/>
              </w:rPr>
            </w:pPr>
            <w:r>
              <w:rPr>
                <w:rFonts w:ascii="Arial" w:cs="Arial" w:eastAsia="Arial" w:hAnsi="Arial"/>
                <w:sz w:val="18"/>
                <w:szCs w:val="18"/>
                <w:color w:val="auto"/>
              </w:rPr>
              <w:t>ROGER FARAH</w:t>
            </w:r>
          </w:p>
        </w:tc>
        <w:tc>
          <w:tcPr>
            <w:tcW w:w="7960" w:type="dxa"/>
            <w:vAlign w:val="bottom"/>
            <w:gridSpan w:val="5"/>
          </w:tcPr>
          <w:p>
            <w:pPr>
              <w:ind w:left="4160"/>
              <w:spacing w:after="0"/>
              <w:rPr>
                <w:sz w:val="20"/>
                <w:szCs w:val="20"/>
                <w:color w:val="auto"/>
              </w:rPr>
            </w:pPr>
            <w:r>
              <w:rPr>
                <w:rFonts w:ascii="Arial" w:cs="Arial" w:eastAsia="Arial" w:hAnsi="Arial"/>
                <w:sz w:val="18"/>
                <w:szCs w:val="18"/>
                <w:color w:val="auto"/>
              </w:rPr>
              <w:t>POLO RALPH LAUREN CORPORATION</w:t>
            </w:r>
          </w:p>
        </w:tc>
      </w:tr>
      <w:tr>
        <w:trPr>
          <w:trHeight w:val="608"/>
        </w:trPr>
        <w:tc>
          <w:tcPr>
            <w:tcW w:w="1560" w:type="dxa"/>
            <w:vAlign w:val="bottom"/>
          </w:tcPr>
          <w:p>
            <w:pPr>
              <w:ind w:left="240"/>
              <w:spacing w:after="0"/>
              <w:rPr>
                <w:sz w:val="20"/>
                <w:szCs w:val="20"/>
                <w:color w:val="auto"/>
              </w:rPr>
            </w:pPr>
            <w:r>
              <w:rPr>
                <w:rFonts w:ascii="Arial" w:cs="Arial" w:eastAsia="Arial" w:hAnsi="Arial"/>
                <w:sz w:val="18"/>
                <w:szCs w:val="18"/>
                <w:color w:val="auto"/>
              </w:rPr>
              <w:t>/s/ Roger Farah</w:t>
            </w:r>
          </w:p>
        </w:tc>
        <w:tc>
          <w:tcPr>
            <w:tcW w:w="4600" w:type="dxa"/>
            <w:vAlign w:val="bottom"/>
            <w:gridSpan w:val="2"/>
          </w:tcPr>
          <w:p>
            <w:pPr>
              <w:ind w:left="4160"/>
              <w:spacing w:after="0"/>
              <w:rPr>
                <w:sz w:val="20"/>
                <w:szCs w:val="20"/>
                <w:color w:val="auto"/>
              </w:rPr>
            </w:pPr>
            <w:r>
              <w:rPr>
                <w:rFonts w:ascii="Arial" w:cs="Arial" w:eastAsia="Arial" w:hAnsi="Arial"/>
                <w:sz w:val="18"/>
                <w:szCs w:val="18"/>
                <w:color w:val="auto"/>
              </w:rPr>
              <w:t>By:</w:t>
            </w:r>
          </w:p>
        </w:tc>
        <w:tc>
          <w:tcPr>
            <w:tcW w:w="3360" w:type="dxa"/>
            <w:vAlign w:val="bottom"/>
            <w:gridSpan w:val="3"/>
          </w:tcPr>
          <w:p>
            <w:pPr>
              <w:ind w:left="40"/>
              <w:spacing w:after="0"/>
              <w:rPr>
                <w:sz w:val="20"/>
                <w:szCs w:val="20"/>
                <w:color w:val="auto"/>
              </w:rPr>
            </w:pPr>
            <w:r>
              <w:rPr>
                <w:rFonts w:ascii="Arial" w:cs="Arial" w:eastAsia="Arial" w:hAnsi="Arial"/>
                <w:sz w:val="18"/>
                <w:szCs w:val="18"/>
                <w:color w:val="auto"/>
              </w:rPr>
              <w:t>/s/ Mitchell Kosh</w:t>
            </w:r>
          </w:p>
        </w:tc>
      </w:tr>
      <w:tr>
        <w:trPr>
          <w:trHeight w:val="20"/>
        </w:trPr>
        <w:tc>
          <w:tcPr>
            <w:tcW w:w="156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12"/>
        </w:trPr>
        <w:tc>
          <w:tcPr>
            <w:tcW w:w="1560" w:type="dxa"/>
            <w:vAlign w:val="bottom"/>
          </w:tcPr>
          <w:p>
            <w:pPr>
              <w:spacing w:after="0"/>
              <w:rPr>
                <w:sz w:val="24"/>
                <w:szCs w:val="24"/>
                <w:color w:val="auto"/>
              </w:rPr>
            </w:pPr>
          </w:p>
        </w:tc>
        <w:tc>
          <w:tcPr>
            <w:tcW w:w="4600" w:type="dxa"/>
            <w:vAlign w:val="bottom"/>
            <w:gridSpan w:val="2"/>
          </w:tcPr>
          <w:p>
            <w:pPr>
              <w:ind w:left="4160"/>
              <w:spacing w:after="0"/>
              <w:rPr>
                <w:sz w:val="20"/>
                <w:szCs w:val="20"/>
                <w:color w:val="auto"/>
              </w:rPr>
            </w:pPr>
            <w:r>
              <w:rPr>
                <w:rFonts w:ascii="Arial" w:cs="Arial" w:eastAsia="Arial" w:hAnsi="Arial"/>
                <w:sz w:val="18"/>
                <w:szCs w:val="18"/>
                <w:color w:val="auto"/>
              </w:rPr>
              <w:t>Title:</w:t>
            </w:r>
          </w:p>
        </w:tc>
        <w:tc>
          <w:tcPr>
            <w:tcW w:w="160" w:type="dxa"/>
            <w:vAlign w:val="bottom"/>
          </w:tcPr>
          <w:p>
            <w:pPr>
              <w:spacing w:after="0"/>
              <w:rPr>
                <w:sz w:val="24"/>
                <w:szCs w:val="24"/>
                <w:color w:val="auto"/>
              </w:rPr>
            </w:pPr>
          </w:p>
        </w:tc>
        <w:tc>
          <w:tcPr>
            <w:tcW w:w="32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89"/>
              </w:rPr>
              <w:t>Senior Vice President — Human Resources</w:t>
            </w:r>
          </w:p>
        </w:tc>
      </w:tr>
      <w:tr>
        <w:trPr>
          <w:trHeight w:val="412"/>
        </w:trPr>
        <w:tc>
          <w:tcPr>
            <w:tcW w:w="1560" w:type="dxa"/>
            <w:vAlign w:val="bottom"/>
          </w:tcPr>
          <w:p>
            <w:pPr>
              <w:spacing w:after="0"/>
              <w:rPr>
                <w:sz w:val="24"/>
                <w:szCs w:val="24"/>
                <w:color w:val="auto"/>
              </w:rPr>
            </w:pPr>
          </w:p>
        </w:tc>
        <w:tc>
          <w:tcPr>
            <w:tcW w:w="442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300"/>
          </w:cols>
          <w:pgMar w:left="240" w:top="935" w:right="35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10.20</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POLO RALPH LAUREN CORPORATION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NONQUALIFIED STOCK OPTION AGREEMENT</w:t>
      </w:r>
    </w:p>
    <w:p>
      <w:pPr>
        <w:spacing w:after="0" w:line="189" w:lineRule="exact"/>
        <w:rPr>
          <w:sz w:val="20"/>
          <w:szCs w:val="20"/>
          <w:color w:val="auto"/>
        </w:rPr>
      </w:pPr>
    </w:p>
    <w:p>
      <w:pPr>
        <w:ind w:right="160" w:firstLine="222"/>
        <w:spacing w:after="0" w:line="308" w:lineRule="auto"/>
        <w:rPr>
          <w:sz w:val="20"/>
          <w:szCs w:val="20"/>
          <w:color w:val="auto"/>
        </w:rPr>
      </w:pPr>
      <w:r>
        <w:rPr>
          <w:rFonts w:ascii="Arial" w:cs="Arial" w:eastAsia="Arial" w:hAnsi="Arial"/>
          <w:sz w:val="17"/>
          <w:szCs w:val="17"/>
          <w:color w:val="auto"/>
        </w:rPr>
        <w:t>THIS AGREEMENT (the “Agreement”), is made effective as of the 23rd day of July, 2002, (hereinafter called the “Date of Grant”), between Polo Ralph Lauren Corporation, a Delaware corporation (hereinafter called the “Company”), and Roger N. Farah (hereinafter called the “Participant”):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r>
        <w:rPr>
          <w:rFonts w:ascii="Arial" w:cs="Arial" w:eastAsia="Arial" w:hAnsi="Arial"/>
          <w:sz w:val="18"/>
          <w:szCs w:val="18"/>
          <w:color w:val="auto"/>
        </w:rPr>
        <w:t>:</w:t>
      </w:r>
    </w:p>
    <w:p>
      <w:pPr>
        <w:spacing w:after="0" w:line="185"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WHEREAS, the Company has adopted the Polo Ralph Lauren Corporation 1997 Long-Term Stock Incentive Plan (the “Plan”), which Plan is incorporated herein by reference and made a part of this Agreement. Capitalized terms not otherwise defined herein shall have the same meanings as in the Plan or, where specifically referenced, the Amended and Restated Employment Agreement between the Company and the Participant effective as of the date hereof (the “Employment Agreement”); and</w:t>
      </w:r>
    </w:p>
    <w:p>
      <w:pPr>
        <w:spacing w:after="0" w:line="146"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WHEREAS, the Committee has determined that it would be in the best interests of the Company and its stockholders to grant the option provided for herein (the “Option”) to the Participant pursuant to the Plan and the terms set forth herein.</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in consideration of the mutual covenants hereinafter set forth, the parties hereto agree as follows:</w:t>
      </w:r>
    </w:p>
    <w:p>
      <w:pPr>
        <w:spacing w:after="0" w:line="185" w:lineRule="exact"/>
        <w:rPr>
          <w:sz w:val="20"/>
          <w:szCs w:val="20"/>
          <w:color w:val="auto"/>
        </w:rPr>
      </w:pPr>
    </w:p>
    <w:p>
      <w:pPr>
        <w:ind w:right="120" w:firstLine="233"/>
        <w:spacing w:after="0" w:line="279" w:lineRule="auto"/>
        <w:tabs>
          <w:tab w:leader="none" w:pos="405"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Grant of the Option</w:t>
      </w:r>
      <w:r>
        <w:rPr>
          <w:rFonts w:ascii="Arial" w:cs="Arial" w:eastAsia="Arial" w:hAnsi="Arial"/>
          <w:sz w:val="17"/>
          <w:szCs w:val="17"/>
          <w:color w:val="auto"/>
        </w:rPr>
        <w:t>. The Company hereby grants to the Participant the right and option (the “Option”) to purchase, on the terms and conditions hereinafter set forth, all or any part of an aggregate of 400,000 Shares, subject to adjustment as set forth in the Plan. The purchase price of the Shares subject to the Option shall be $18.22 per Share (the “Exercise Price”). The Option is intended to be a non-qualified stock option, and is not intended to be treated as an option that complies with Section 422 of the Internal Revenue Code of 1986, as amended (the “Code”).</w:t>
      </w:r>
    </w:p>
    <w:p>
      <w:pPr>
        <w:spacing w:after="0" w:line="130" w:lineRule="exact"/>
        <w:rPr>
          <w:rFonts w:ascii="Arial" w:cs="Arial" w:eastAsia="Arial" w:hAnsi="Arial"/>
          <w:sz w:val="17"/>
          <w:szCs w:val="17"/>
          <w:color w:val="auto"/>
        </w:rPr>
      </w:pPr>
    </w:p>
    <w:p>
      <w:pPr>
        <w:ind w:left="420" w:hanging="187"/>
        <w:spacing w:after="0"/>
        <w:tabs>
          <w:tab w:leader="none" w:pos="42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right="200" w:firstLine="458"/>
        <w:spacing w:after="0" w:line="342" w:lineRule="auto"/>
        <w:tabs>
          <w:tab w:leader="none" w:pos="695" w:val="left"/>
        </w:tabs>
        <w:numPr>
          <w:ilvl w:val="1"/>
          <w:numId w:val="99"/>
        </w:numPr>
        <w:rPr>
          <w:rFonts w:ascii="Arial" w:cs="Arial" w:eastAsia="Arial" w:hAnsi="Arial"/>
          <w:sz w:val="16"/>
          <w:szCs w:val="16"/>
          <w:color w:val="auto"/>
        </w:rPr>
      </w:pPr>
      <w:r>
        <w:rPr>
          <w:rFonts w:ascii="Arial" w:cs="Arial" w:eastAsia="Arial" w:hAnsi="Arial"/>
          <w:sz w:val="16"/>
          <w:szCs w:val="16"/>
          <w:color w:val="auto"/>
        </w:rPr>
        <w:t>Subject to the Participant’s continued employment with the Company, the Option shall vest and become exercisable with respect to one third (1/3) of the Shares initially covered by the Option on each of the second, third and fourth anniversaries of the Date of Grant (each, an “Option Vesting Date”).</w:t>
      </w:r>
    </w:p>
    <w:p>
      <w:pPr>
        <w:spacing w:after="0" w:line="83"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At any given time, the portion of the Option which has become vested and exercisable as described above (or pursuant to Sections 2(b) or (d) below) is hereinafter referred to as the “Vested Portion.”</w:t>
      </w:r>
    </w:p>
    <w:p>
      <w:pPr>
        <w:spacing w:after="0" w:line="130" w:lineRule="exact"/>
        <w:rPr>
          <w:sz w:val="20"/>
          <w:szCs w:val="20"/>
          <w:color w:val="auto"/>
        </w:rPr>
      </w:pPr>
    </w:p>
    <w:p>
      <w:pPr>
        <w:ind w:right="180" w:firstLine="458"/>
        <w:spacing w:after="0" w:line="277" w:lineRule="auto"/>
        <w:tabs>
          <w:tab w:leader="none" w:pos="70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the Participant’s employment with the Company is terminated due to the Participant’s normal retirement at or after age 65, then the Option shall continue to vest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9" w:name="page130"/>
    <w:bookmarkEnd w:id="129"/>
    <w:p>
      <w:pPr>
        <w:spacing w:after="0"/>
        <w:rPr>
          <w:sz w:val="20"/>
          <w:szCs w:val="20"/>
          <w:color w:val="auto"/>
        </w:rPr>
      </w:pPr>
      <w:r>
        <w:rPr>
          <w:rFonts w:ascii="Arial" w:cs="Arial" w:eastAsia="Arial" w:hAnsi="Arial"/>
          <w:sz w:val="17"/>
          <w:szCs w:val="17"/>
          <w:color w:val="auto"/>
        </w:rPr>
        <w:t>schedule provided in Section 2(a) above, subject to the Participant’s not engaging in any “Competitive Activity” (as defined in Section 3(a) below).</w:t>
      </w:r>
    </w:p>
    <w:p>
      <w:pPr>
        <w:spacing w:after="0" w:line="210" w:lineRule="exact"/>
        <w:rPr>
          <w:sz w:val="20"/>
          <w:szCs w:val="20"/>
          <w:color w:val="auto"/>
        </w:rPr>
      </w:pPr>
    </w:p>
    <w:p>
      <w:pPr>
        <w:ind w:right="40" w:firstLine="458"/>
        <w:spacing w:after="0" w:line="276" w:lineRule="auto"/>
        <w:tabs>
          <w:tab w:leader="none" w:pos="695" w:val="left"/>
        </w:tabs>
        <w:numPr>
          <w:ilvl w:val="1"/>
          <w:numId w:val="101"/>
        </w:numPr>
        <w:rPr>
          <w:rFonts w:ascii="Arial" w:cs="Arial" w:eastAsia="Arial" w:hAnsi="Arial"/>
          <w:sz w:val="17"/>
          <w:szCs w:val="17"/>
          <w:color w:val="auto"/>
        </w:rPr>
      </w:pPr>
      <w:r>
        <w:rPr>
          <w:rFonts w:ascii="Arial" w:cs="Arial" w:eastAsia="Arial" w:hAnsi="Arial"/>
          <w:sz w:val="17"/>
          <w:szCs w:val="17"/>
          <w:color w:val="auto"/>
        </w:rPr>
        <w:t>If the Participant’s employment with the Company is terminated by the Participant for Good Reason (as defined below) or by the Company without Cause (as defined below) (other than as a result of the Company’s election not to extend the Term of the Employment Agreement as contemplated by Section 2 of the Employment Agreement, or by reason of death or Disability (as defined below)), the Option shall vest with respect to the greater of (x) the percentage of the Option that otherwise would have vested on the next Option Vesting Date if no such termination had occurred and (y) the percentage of the Option so that, in the aggregate, 200,000 Shares subject to the Option would then be vested hereunder.</w:t>
      </w:r>
    </w:p>
    <w:p>
      <w:pPr>
        <w:spacing w:after="0" w:line="132" w:lineRule="exact"/>
        <w:rPr>
          <w:rFonts w:ascii="Arial" w:cs="Arial" w:eastAsia="Arial" w:hAnsi="Arial"/>
          <w:sz w:val="17"/>
          <w:szCs w:val="17"/>
          <w:color w:val="auto"/>
        </w:rPr>
      </w:pPr>
    </w:p>
    <w:p>
      <w:pPr>
        <w:ind w:firstLine="458"/>
        <w:spacing w:after="0" w:line="264" w:lineRule="auto"/>
        <w:tabs>
          <w:tab w:leader="none" w:pos="705"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If the Participant’s employment with the Company is terminated for any reason other than that expressly described in Section 2(b) or 2(c) above, the Option shall, to the extent not then vested, be canceled by the Company without consideration and the Vested Portion of the Option shall remain exercisable for the period set forth in Section 3(a).</w:t>
      </w:r>
    </w:p>
    <w:p>
      <w:pPr>
        <w:spacing w:after="0" w:line="140" w:lineRule="exact"/>
        <w:rPr>
          <w:rFonts w:ascii="Arial" w:cs="Arial" w:eastAsia="Arial" w:hAnsi="Arial"/>
          <w:sz w:val="18"/>
          <w:szCs w:val="18"/>
          <w:color w:val="auto"/>
        </w:rPr>
      </w:pPr>
    </w:p>
    <w:p>
      <w:pPr>
        <w:jc w:val="both"/>
        <w:ind w:right="260" w:firstLine="458"/>
        <w:spacing w:after="0" w:line="264" w:lineRule="auto"/>
        <w:tabs>
          <w:tab w:leader="none" w:pos="695" w:val="left"/>
        </w:tabs>
        <w:numPr>
          <w:ilvl w:val="1"/>
          <w:numId w:val="101"/>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to the contrary, in the event of a Change of Control (either as defined in the Employment Agreement or in the Plan) the Option shall, to the extent not then vested and not previously canceled, immediately become fully vested and exercisable as contemplated by Section 13 of the Plan.</w:t>
      </w:r>
    </w:p>
    <w:p>
      <w:pPr>
        <w:spacing w:after="0" w:line="154" w:lineRule="exact"/>
        <w:rPr>
          <w:rFonts w:ascii="Arial" w:cs="Arial" w:eastAsia="Arial" w:hAnsi="Arial"/>
          <w:sz w:val="18"/>
          <w:szCs w:val="18"/>
          <w:color w:val="auto"/>
        </w:rPr>
      </w:pPr>
    </w:p>
    <w:p>
      <w:pPr>
        <w:ind w:left="420" w:hanging="187"/>
        <w:spacing w:after="0"/>
        <w:tabs>
          <w:tab w:leader="none" w:pos="42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firstLine="458"/>
        <w:spacing w:after="0" w:line="277" w:lineRule="auto"/>
        <w:tabs>
          <w:tab w:leader="none" w:pos="695"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Period of Exercise</w:t>
      </w:r>
      <w:r>
        <w:rPr>
          <w:rFonts w:ascii="Arial" w:cs="Arial" w:eastAsia="Arial" w:hAnsi="Arial"/>
          <w:sz w:val="18"/>
          <w:szCs w:val="18"/>
          <w:color w:val="auto"/>
        </w:rPr>
        <w:t>. Subject to the provisions of the Plan and this Agreement, the Participant may exercise all or any part of the Vested Portion of the Option at any time prior to the earliest to occur of:</w:t>
      </w:r>
    </w:p>
    <w:p>
      <w:pPr>
        <w:spacing w:after="0" w:line="129" w:lineRule="exact"/>
        <w:rPr>
          <w:rFonts w:ascii="Arial" w:cs="Arial" w:eastAsia="Arial" w:hAnsi="Arial"/>
          <w:sz w:val="18"/>
          <w:szCs w:val="18"/>
          <w:color w:val="auto"/>
        </w:rPr>
      </w:pPr>
    </w:p>
    <w:p>
      <w:pPr>
        <w:ind w:left="900" w:hanging="217"/>
        <w:spacing w:after="0"/>
        <w:tabs>
          <w:tab w:leader="none" w:pos="90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the tenth anniversary of the Date of Grant;</w:t>
      </w:r>
    </w:p>
    <w:p>
      <w:pPr>
        <w:spacing w:after="0" w:line="198" w:lineRule="exact"/>
        <w:rPr>
          <w:rFonts w:ascii="Arial" w:cs="Arial" w:eastAsia="Arial" w:hAnsi="Arial"/>
          <w:sz w:val="18"/>
          <w:szCs w:val="18"/>
          <w:color w:val="auto"/>
        </w:rPr>
      </w:pPr>
    </w:p>
    <w:p>
      <w:pPr>
        <w:ind w:right="160" w:firstLine="683"/>
        <w:spacing w:after="0" w:line="277" w:lineRule="auto"/>
        <w:tabs>
          <w:tab w:leader="none" w:pos="94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in the event of the Participant’s termination of employment due to death or Disability, then the third anniversary of the date of the Participant’s termination of employment;</w:t>
      </w:r>
    </w:p>
    <w:p>
      <w:pPr>
        <w:spacing w:after="0" w:line="129" w:lineRule="exact"/>
        <w:rPr>
          <w:rFonts w:ascii="Arial" w:cs="Arial" w:eastAsia="Arial" w:hAnsi="Arial"/>
          <w:sz w:val="18"/>
          <w:szCs w:val="18"/>
          <w:color w:val="auto"/>
        </w:rPr>
      </w:pPr>
    </w:p>
    <w:p>
      <w:pPr>
        <w:ind w:right="760" w:firstLine="683"/>
        <w:spacing w:after="0" w:line="277" w:lineRule="auto"/>
        <w:tabs>
          <w:tab w:leader="none" w:pos="99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in the event of the Participant’s termination of employment due to the Participant’s normal retirement at or after age 65, then the third anniversary of the date of the Participant’s termination of employment;</w:t>
      </w:r>
    </w:p>
    <w:p>
      <w:pPr>
        <w:spacing w:after="0" w:line="129" w:lineRule="exact"/>
        <w:rPr>
          <w:rFonts w:ascii="Arial" w:cs="Arial" w:eastAsia="Arial" w:hAnsi="Arial"/>
          <w:sz w:val="18"/>
          <w:szCs w:val="18"/>
          <w:color w:val="auto"/>
        </w:rPr>
      </w:pPr>
    </w:p>
    <w:p>
      <w:pPr>
        <w:ind w:right="140" w:firstLine="683"/>
        <w:spacing w:after="0" w:line="264" w:lineRule="auto"/>
        <w:tabs>
          <w:tab w:leader="none" w:pos="98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in the event of the Participant’s termination of employment due to the Participant’s early retirement at or after age 55 with at least 7 years of service with the Company and its affiliates, then the earlier of (x) the first anniversary of the date of the Participant’s termination of employment and (y) the Participant’s engagement in a Competitive Activity;</w:t>
      </w:r>
    </w:p>
    <w:p>
      <w:pPr>
        <w:spacing w:after="0" w:line="154" w:lineRule="exact"/>
        <w:rPr>
          <w:rFonts w:ascii="Arial" w:cs="Arial" w:eastAsia="Arial" w:hAnsi="Arial"/>
          <w:sz w:val="18"/>
          <w:szCs w:val="18"/>
          <w:color w:val="auto"/>
        </w:rPr>
      </w:pPr>
    </w:p>
    <w:p>
      <w:pPr>
        <w:ind w:right="180" w:firstLine="683"/>
        <w:spacing w:after="0" w:line="277" w:lineRule="auto"/>
        <w:tabs>
          <w:tab w:leader="none" w:pos="93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in the event of the Participant’s termination of employment by the Participant for Good Reason (as defined below) or by the Company without Cause (as defined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30" w:name="page131"/>
    <w:bookmarkEnd w:id="130"/>
    <w:p>
      <w:pPr>
        <w:ind w:right="180"/>
        <w:spacing w:after="0" w:line="259" w:lineRule="auto"/>
        <w:rPr>
          <w:sz w:val="20"/>
          <w:szCs w:val="20"/>
          <w:color w:val="auto"/>
        </w:rPr>
      </w:pPr>
      <w:r>
        <w:rPr>
          <w:rFonts w:ascii="Arial" w:cs="Arial" w:eastAsia="Arial" w:hAnsi="Arial"/>
          <w:sz w:val="18"/>
          <w:szCs w:val="18"/>
          <w:color w:val="auto"/>
        </w:rPr>
        <w:t>below) (other than as a result of the Company’s election not to extend the Term of the Employment Agreement as contemplated by Section 2 of the Employment Agreement, or by reason of death or Disability (as defined below)), then the later of (x) the expiration of the Term (as defined in the Employment Agreement, determined without regard to any earlier termination or further extensions thereof) or (y) the first anniversary of the Participant’s termination of employment;</w:t>
      </w:r>
    </w:p>
    <w:p>
      <w:pPr>
        <w:spacing w:after="0" w:line="160" w:lineRule="exact"/>
        <w:rPr>
          <w:sz w:val="20"/>
          <w:szCs w:val="20"/>
          <w:color w:val="auto"/>
        </w:rPr>
      </w:pPr>
    </w:p>
    <w:p>
      <w:pPr>
        <w:ind w:right="200" w:firstLine="683"/>
        <w:spacing w:after="0" w:line="277" w:lineRule="auto"/>
        <w:tabs>
          <w:tab w:leader="none" w:pos="9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the event of the Participant’s termination of employment by the Company for Cause or due to the Participant’s voluntary resignation other than for Good Reason, then the date of the Participant’s termination of employment; and</w:t>
      </w:r>
    </w:p>
    <w:p>
      <w:pPr>
        <w:spacing w:after="0" w:line="129" w:lineRule="exact"/>
        <w:rPr>
          <w:rFonts w:ascii="Arial" w:cs="Arial" w:eastAsia="Arial" w:hAnsi="Arial"/>
          <w:sz w:val="18"/>
          <w:szCs w:val="18"/>
          <w:color w:val="auto"/>
        </w:rPr>
      </w:pPr>
    </w:p>
    <w:p>
      <w:pPr>
        <w:ind w:right="80" w:firstLine="638"/>
        <w:spacing w:after="0" w:line="257" w:lineRule="auto"/>
        <w:tabs>
          <w:tab w:leader="none" w:pos="98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notwithstanding paragraphs (ii), (iii), (iv), (v), and (vi), above, in the event a Change of Control (either as defined in the Employment Agreement or in the Plan) shall have occurred prior to the date of the Participant’s termination of employment, the Option shall be exercisable until the later of (x) the applicable period set forth in paragraph (ii), (iii), (iv), (v), or (vi), above, depending on the reason for termination, or (y) the later of (A) the expiration of the remaining Term (as defined in the Employment Agreement, determined without regard to any earlier termination or further extensions hereunder) or (B) the first anniversary of the date of such Change of Control.</w:t>
      </w:r>
    </w:p>
    <w:p>
      <w:pPr>
        <w:spacing w:after="0" w:line="14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purposes of this agreement:</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“Cause” shall have the meaning given in the Employment Agreement; and</w:t>
      </w:r>
    </w:p>
    <w:p>
      <w:pPr>
        <w:spacing w:after="0" w:line="185"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“Competitive Activity” shall mean the Participant’s direct or indirect (i) engagement in any “Competitive Business” (as defined below) for his or her own account, (ii) entering into the employ of, or rendering of services to, any person engaged in a Competitive Business, or (iii) becoming interested in any entity engaged in a Competitive Business, directly or indirectly as an individual, partner, shareholder, officer, director, principal, agent, employee, trustee, consultant, or in any other relationship or capacity;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Participant may own, solely as an investment, securities of any entity which are traded on a national securities exchange if the Participant is not a controlling person of, or a member of a group that controls such entity and does not, directly or indirectly, own 2% or more of any class of securities of such entity; and</w:t>
      </w:r>
    </w:p>
    <w:p>
      <w:pPr>
        <w:spacing w:after="0" w:line="153" w:lineRule="exact"/>
        <w:rPr>
          <w:sz w:val="20"/>
          <w:szCs w:val="20"/>
          <w:color w:val="auto"/>
        </w:rPr>
      </w:pPr>
    </w:p>
    <w:p>
      <w:pPr>
        <w:ind w:right="320" w:firstLine="225"/>
        <w:spacing w:after="0" w:line="312" w:lineRule="auto"/>
        <w:rPr>
          <w:sz w:val="20"/>
          <w:szCs w:val="20"/>
          <w:color w:val="auto"/>
        </w:rPr>
      </w:pPr>
      <w:r>
        <w:rPr>
          <w:rFonts w:ascii="Arial" w:cs="Arial" w:eastAsia="Arial" w:hAnsi="Arial"/>
          <w:sz w:val="16"/>
          <w:szCs w:val="16"/>
          <w:color w:val="auto"/>
        </w:rPr>
        <w:t>“Competitive Business” shall mean “Competitive Business” as defined in any employment agreement then in effect between the Participant and the Company or if not defined therein or, if there shall be no such agreement, the design, manufacture, sale, marketing or distribution of branded or designer apparel and other products in the categories of products sold by, or under license from, the Company or its affiliates within the United States; and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“Disability” shall have the meaning given in the Employment Agreement; and</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“Good Reason” shall have the meaning given in the Employment Agreement.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Method of Exercise.</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131" w:name="page132"/>
    <w:bookmarkEnd w:id="131"/>
    <w:p>
      <w:pPr>
        <w:ind w:right="60" w:firstLine="683"/>
        <w:spacing w:after="0" w:line="285" w:lineRule="auto"/>
        <w:tabs>
          <w:tab w:leader="none" w:pos="89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Subject to Section 3(a), the Vested Portion of the Option may be exercised by delivering to the Company at its principal office written notice of intent to so exercise or by delivering such notice to the Company by such other method as may be permitted by the Committee;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Option may be exercised with respect to whole Shares only. Such notice shall specify the number of Shares for which the Option is being exercised and shall be accompanied by payment in full of the Exercise Price. The payment of the Exercise Price may be made in cash, or its equivalent, or (x) by exchanging Shares owned by the Participant (which are not the subject of any pledge or other security interest and which have been owned by the Participant for at least</w:t>
      </w:r>
    </w:p>
    <w:p>
      <w:pPr>
        <w:spacing w:after="0" w:line="2" w:lineRule="exact"/>
        <w:rPr>
          <w:rFonts w:ascii="Arial" w:cs="Arial" w:eastAsia="Arial" w:hAnsi="Arial"/>
          <w:sz w:val="16"/>
          <w:szCs w:val="16"/>
          <w:color w:val="auto"/>
        </w:rPr>
      </w:pPr>
    </w:p>
    <w:p>
      <w:pPr>
        <w:ind w:right="40"/>
        <w:spacing w:after="0" w:line="252" w:lineRule="auto"/>
        <w:rPr>
          <w:rFonts w:ascii="Arial" w:cs="Arial" w:eastAsia="Arial" w:hAnsi="Arial"/>
          <w:sz w:val="16"/>
          <w:szCs w:val="16"/>
          <w:color w:val="auto"/>
        </w:rPr>
      </w:pPr>
      <w:r>
        <w:rPr>
          <w:rFonts w:ascii="Arial" w:cs="Arial" w:eastAsia="Arial" w:hAnsi="Arial"/>
          <w:sz w:val="18"/>
          <w:szCs w:val="18"/>
          <w:color w:val="auto"/>
        </w:rPr>
        <w:t>6 months), (y) subject to such rules as may be established by the Committee, through delivery of irrevocable instructions to a broker to sell the Shares otherwise deliverable upon the exercise of the Option and to deliver promptly to the Company an amount equal to the aggregate exercise price, or (z) with the consent of the Committee in its sole discretion, by the promissory note and agreement of the Participant providing for the payment with interest of the unpaid balance accruing at a rate not less than needed to avoid the imputation of income under Code Section 7872 and upon such terms and conditions (including the security, if any therefor) as the Committee may determine, or by a combination of the foregoing, provided that the combined value of all cash and cash equivalents and the Fair Market Value of any such Shares so tendered to the Company as of the date of such tender is at least equal to such aggregate exercise price.</w:t>
      </w:r>
    </w:p>
    <w:p>
      <w:pPr>
        <w:spacing w:after="0" w:line="166" w:lineRule="exact"/>
        <w:rPr>
          <w:rFonts w:ascii="Arial" w:cs="Arial" w:eastAsia="Arial" w:hAnsi="Arial"/>
          <w:sz w:val="16"/>
          <w:szCs w:val="16"/>
          <w:color w:val="auto"/>
        </w:rPr>
      </w:pPr>
    </w:p>
    <w:p>
      <w:pPr>
        <w:ind w:right="40" w:firstLine="683"/>
        <w:spacing w:after="0" w:line="312" w:lineRule="auto"/>
        <w:tabs>
          <w:tab w:leader="none" w:pos="9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Notwithstanding any other provision of the Plan or this Agreement to the contrary, the Option may not be exercised prior to the completion of any registration or qualification of the Option or the Shares under applicable state and federal securities or other laws, or under any ruling or regulation of any governmental body or national securities exchange that the Committee shall in its sole discretion determine to be necessary or advisable.</w:t>
      </w:r>
    </w:p>
    <w:p>
      <w:pPr>
        <w:spacing w:after="0" w:line="106" w:lineRule="exact"/>
        <w:rPr>
          <w:rFonts w:ascii="Arial" w:cs="Arial" w:eastAsia="Arial" w:hAnsi="Arial"/>
          <w:sz w:val="16"/>
          <w:szCs w:val="16"/>
          <w:color w:val="auto"/>
        </w:rPr>
      </w:pPr>
    </w:p>
    <w:p>
      <w:pPr>
        <w:ind w:right="240" w:firstLine="683"/>
        <w:spacing w:after="0" w:line="312" w:lineRule="auto"/>
        <w:tabs>
          <w:tab w:leader="none" w:pos="99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Upon the Company’s determination that the Option has been validly exercised as to any of the Shares, the Company shall issue certificates in the Participant’s name for such Shares. However, the Company shall not be liable to the Participant for damages relating to any delays in issuing the certificates to him, any loss of the certificates, or any mistakes or errors in the issuance of the certificates or in the certificates themselves.</w:t>
      </w:r>
    </w:p>
    <w:p>
      <w:pPr>
        <w:spacing w:after="0" w:line="106" w:lineRule="exact"/>
        <w:rPr>
          <w:rFonts w:ascii="Arial" w:cs="Arial" w:eastAsia="Arial" w:hAnsi="Arial"/>
          <w:sz w:val="16"/>
          <w:szCs w:val="16"/>
          <w:color w:val="auto"/>
        </w:rPr>
      </w:pPr>
    </w:p>
    <w:p>
      <w:pPr>
        <w:jc w:val="both"/>
        <w:ind w:firstLine="683"/>
        <w:spacing w:after="0" w:line="312" w:lineRule="auto"/>
        <w:tabs>
          <w:tab w:leader="none" w:pos="9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In the event of the Participant’s death, the Vested Portion of the Option shall remain exercisable by the Participant’s executor or administrator, or the person or persons to whom the Participant’s rights under this Agreement shall pass by will or by the laws of descent and distribution as the case may be, to the extent set forth in Section 3(a). Any heir or legatee of the Participant shall take rights herein granted subject to the terms and conditions hereof.</w:t>
      </w:r>
    </w:p>
    <w:p>
      <w:pPr>
        <w:spacing w:after="0" w:line="120" w:lineRule="exact"/>
        <w:rPr>
          <w:sz w:val="20"/>
          <w:szCs w:val="20"/>
          <w:color w:val="auto"/>
        </w:rPr>
      </w:pPr>
    </w:p>
    <w:p>
      <w:pPr>
        <w:jc w:val="center"/>
        <w:ind w:right="60" w:firstLine="233"/>
        <w:spacing w:after="0" w:line="312" w:lineRule="auto"/>
        <w:tabs>
          <w:tab w:leader="none" w:pos="405"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No Right to Continued Employment</w:t>
      </w:r>
      <w:r>
        <w:rPr>
          <w:rFonts w:ascii="Arial" w:cs="Arial" w:eastAsia="Arial" w:hAnsi="Arial"/>
          <w:sz w:val="16"/>
          <w:szCs w:val="16"/>
          <w:color w:val="auto"/>
        </w:rPr>
        <w:t>. Neither the Plan nor this Agreement shall be construed as giving the Participant the right to be retained in the employ of, or in any consulting relationship to, the Company or any Affiliate. Further, the Company or an Affiliate may at any time dismiss the Participant or discontinue any consulting relationship, free from any liability or any claim under the Plan or this Agreement, except as otherwise expressly provided herein.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2" w:name="page133"/>
    <w:bookmarkEnd w:id="132"/>
    <w:p>
      <w:pPr>
        <w:ind w:right="280" w:firstLine="233"/>
        <w:spacing w:after="0" w:line="279" w:lineRule="auto"/>
        <w:tabs>
          <w:tab w:leader="none" w:pos="405"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Legend on Certificates</w:t>
      </w:r>
      <w:r>
        <w:rPr>
          <w:rFonts w:ascii="Arial" w:cs="Arial" w:eastAsia="Arial" w:hAnsi="Arial"/>
          <w:sz w:val="17"/>
          <w:szCs w:val="17"/>
          <w:color w:val="auto"/>
        </w:rPr>
        <w:t>. The certificates representing the Shares purchased by exercise of the Option shall be subject to such stop transfer orders and other restrictions as the Committee may deem advisable under the Plan or the rules, regulations, and other requirements of the Securities and Exchange Commission, any stock exchange upon which such Shares are listed, and any applicable Federal or state laws, and the Committee may cause a legend or legends to be put on any such certificates to make appropriate reference to such restrictions.</w:t>
      </w:r>
    </w:p>
    <w:p>
      <w:pPr>
        <w:spacing w:after="0" w:line="144" w:lineRule="exact"/>
        <w:rPr>
          <w:rFonts w:ascii="Arial" w:cs="Arial" w:eastAsia="Arial" w:hAnsi="Arial"/>
          <w:sz w:val="17"/>
          <w:szCs w:val="17"/>
          <w:color w:val="auto"/>
        </w:rPr>
      </w:pPr>
    </w:p>
    <w:p>
      <w:pPr>
        <w:ind w:firstLine="233"/>
        <w:spacing w:after="0" w:line="254" w:lineRule="auto"/>
        <w:tabs>
          <w:tab w:leader="none" w:pos="405"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xml:space="preserve">. Except as otherwise determined by the Committee pursuant to its authority under Section 14(a)(iii) of the Plan, during the Participant’s lifetime, the Option is exercisable only by the Participant and the Option may not be assigned, alienated, pledged, attached, sold or otherwise transferred or encumbered by the Participant otherwise than by will or by the laws of descent and distribution, and any such purported assignment, alienation, pledge, attachment, sale, transfer or encumbrance shall be void and unenforceable against the Company or any Affiliate;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designation of a beneficiary shall not constitute an assignment, alienation, pledge, attachment, sale, transfer or encumbrance. No such permitted transfer of the Option to heirs or legatees of the Participant shall be effective to bind the Company unless the Committee shall have been furnished with written notice thereof and a copy of such evidence as the Committee may deem necessary to establish the validity of the transfer and the acceptance by the transferee or transferees of the terms and conditions hereof.</w:t>
      </w:r>
    </w:p>
    <w:p>
      <w:pPr>
        <w:spacing w:after="0" w:line="151" w:lineRule="exact"/>
        <w:rPr>
          <w:rFonts w:ascii="Arial" w:cs="Arial" w:eastAsia="Arial" w:hAnsi="Arial"/>
          <w:sz w:val="18"/>
          <w:szCs w:val="18"/>
          <w:color w:val="auto"/>
        </w:rPr>
      </w:pPr>
    </w:p>
    <w:p>
      <w:pPr>
        <w:ind w:left="420" w:hanging="187"/>
        <w:spacing w:after="0"/>
        <w:tabs>
          <w:tab w:leader="none" w:pos="42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right="160" w:firstLine="458"/>
        <w:spacing w:after="0" w:line="257" w:lineRule="auto"/>
        <w:tabs>
          <w:tab w:leader="none" w:pos="69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Participant may be required to pay to the Company or any Affiliate and the Company or any Affiliate shall have the right and is hereby authorized to withhold from any payment due or transfer made under the Option or under the Plan or from any compensation or other amount owing to a Participant the amount (in cash, Shares, other securities, other Awards or other property) of any applicable withholding taxes in respect of the Option, its exercise, or any payment or transfer under the Option or under the Plan and to take such other action as may be necessary in the opinion of the Company to satisfy all obligations for the payment of such taxes.</w:t>
      </w:r>
    </w:p>
    <w:p>
      <w:pPr>
        <w:spacing w:after="0" w:line="161" w:lineRule="exact"/>
        <w:rPr>
          <w:rFonts w:ascii="Arial" w:cs="Arial" w:eastAsia="Arial" w:hAnsi="Arial"/>
          <w:sz w:val="18"/>
          <w:szCs w:val="18"/>
          <w:color w:val="auto"/>
        </w:rPr>
      </w:pPr>
    </w:p>
    <w:p>
      <w:pPr>
        <w:ind w:firstLine="458"/>
        <w:spacing w:after="0" w:line="291" w:lineRule="auto"/>
        <w:tabs>
          <w:tab w:leader="none" w:pos="702" w:val="left"/>
        </w:tabs>
        <w:numPr>
          <w:ilvl w:val="1"/>
          <w:numId w:val="106"/>
        </w:numPr>
        <w:rPr>
          <w:rFonts w:ascii="Arial" w:cs="Arial" w:eastAsia="Arial" w:hAnsi="Arial"/>
          <w:sz w:val="16"/>
          <w:szCs w:val="16"/>
          <w:color w:val="auto"/>
        </w:rPr>
      </w:pPr>
      <w:r>
        <w:rPr>
          <w:rFonts w:ascii="Arial" w:cs="Arial" w:eastAsia="Arial" w:hAnsi="Arial"/>
          <w:sz w:val="16"/>
          <w:szCs w:val="16"/>
          <w:color w:val="auto"/>
        </w:rPr>
        <w:t>Without limiting the generality of clause (i) above, the Participant may satisfy, in whole or in part, the foregoing withholding liability by delivery of Shares owned by the Participant (which are not subject to any pledge or other security interest and which have been owned by the Participant for at least</w:t>
      </w:r>
    </w:p>
    <w:p>
      <w:pPr>
        <w:ind w:right="280"/>
        <w:spacing w:after="0" w:line="261" w:lineRule="auto"/>
        <w:rPr>
          <w:rFonts w:ascii="Arial" w:cs="Arial" w:eastAsia="Arial" w:hAnsi="Arial"/>
          <w:sz w:val="16"/>
          <w:szCs w:val="16"/>
          <w:color w:val="auto"/>
        </w:rPr>
      </w:pPr>
      <w:r>
        <w:rPr>
          <w:rFonts w:ascii="Arial" w:cs="Arial" w:eastAsia="Arial" w:hAnsi="Arial"/>
          <w:sz w:val="18"/>
          <w:szCs w:val="18"/>
          <w:color w:val="auto"/>
        </w:rPr>
        <w:t>6 months) with a Fair Market Value equal to such withholding liability or by having the Company withhold from the number of Shares otherwise issuable pursuant to the exercise of the option a number of Shares with a Fair Market Value equal to such withholding liability.</w:t>
      </w:r>
    </w:p>
    <w:p>
      <w:pPr>
        <w:spacing w:after="0" w:line="143" w:lineRule="exact"/>
        <w:rPr>
          <w:rFonts w:ascii="Arial" w:cs="Arial" w:eastAsia="Arial" w:hAnsi="Arial"/>
          <w:sz w:val="16"/>
          <w:szCs w:val="16"/>
          <w:color w:val="auto"/>
        </w:rPr>
      </w:pPr>
    </w:p>
    <w:p>
      <w:pPr>
        <w:jc w:val="both"/>
        <w:ind w:right="680" w:firstLine="233"/>
        <w:spacing w:after="0" w:line="264" w:lineRule="auto"/>
        <w:tabs>
          <w:tab w:leader="none" w:pos="405"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Upon the acquisition of any Shares pursuant to the exercise of the Option, the Participant will make or enter into such written representations, warranties and agreements as the Committee may reasonably request in order to comply with applicable securities laws or with this Agreement.</w:t>
      </w:r>
    </w:p>
    <w:p>
      <w:pPr>
        <w:spacing w:after="0" w:line="140" w:lineRule="exact"/>
        <w:rPr>
          <w:rFonts w:ascii="Arial" w:cs="Arial" w:eastAsia="Arial" w:hAnsi="Arial"/>
          <w:sz w:val="18"/>
          <w:szCs w:val="18"/>
          <w:color w:val="auto"/>
        </w:rPr>
      </w:pPr>
    </w:p>
    <w:p>
      <w:pPr>
        <w:ind w:right="160" w:firstLine="233"/>
        <w:spacing w:after="0" w:line="277" w:lineRule="auto"/>
        <w:tabs>
          <w:tab w:leader="none" w:pos="405"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necessary under this Agreement shall be addressed to the Company in care of its Secretary at the principal executive office of the Company and to the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33" w:name="page134"/>
    <w:bookmarkEnd w:id="133"/>
    <w:p>
      <w:pPr>
        <w:ind w:right="420" w:firstLine="225"/>
        <w:spacing w:after="0" w:line="342" w:lineRule="auto"/>
        <w:rPr>
          <w:sz w:val="20"/>
          <w:szCs w:val="20"/>
          <w:color w:val="auto"/>
        </w:rPr>
      </w:pPr>
      <w:r>
        <w:rPr>
          <w:rFonts w:ascii="Arial" w:cs="Arial" w:eastAsia="Arial" w:hAnsi="Arial"/>
          <w:sz w:val="16"/>
          <w:szCs w:val="16"/>
          <w:color w:val="auto"/>
        </w:rPr>
        <w:t>Participant at the address appearing in the personnel records of the Company for the Participant or to either party at such other address as either party hereto may hereafter designate in writing to the other. Any such notice shall be deemed effective upon receipt thereof by the addressee.</w:t>
      </w:r>
    </w:p>
    <w:p>
      <w:pPr>
        <w:spacing w:after="0" w:line="97" w:lineRule="exact"/>
        <w:rPr>
          <w:sz w:val="20"/>
          <w:szCs w:val="20"/>
          <w:color w:val="auto"/>
        </w:rPr>
      </w:pPr>
    </w:p>
    <w:p>
      <w:pPr>
        <w:ind w:right="120" w:firstLine="233"/>
        <w:spacing w:after="0" w:line="277" w:lineRule="auto"/>
        <w:tabs>
          <w:tab w:leader="none" w:pos="495"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THE INTERPRETATION, PERFORMANCE AND ENFORCEMENT OF THIS AGREEMENT SHALL BE GOVERNED BY THE LAWS OF THE STATE OF NEW YORK WITHOUT REGARD TO PRINCIPLES OF CONFLICTS OF LAW.</w:t>
      </w:r>
    </w:p>
    <w:p>
      <w:pPr>
        <w:spacing w:after="0" w:line="129" w:lineRule="exact"/>
        <w:rPr>
          <w:rFonts w:ascii="Arial" w:cs="Arial" w:eastAsia="Arial" w:hAnsi="Arial"/>
          <w:sz w:val="18"/>
          <w:szCs w:val="18"/>
          <w:color w:val="auto"/>
        </w:rPr>
      </w:pPr>
    </w:p>
    <w:p>
      <w:pPr>
        <w:ind w:firstLine="233"/>
        <w:spacing w:after="0" w:line="259" w:lineRule="auto"/>
        <w:tabs>
          <w:tab w:leader="none" w:pos="488"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Option Subject to Plan</w:t>
      </w:r>
      <w:r>
        <w:rPr>
          <w:rFonts w:ascii="Arial" w:cs="Arial" w:eastAsia="Arial" w:hAnsi="Arial"/>
          <w:sz w:val="18"/>
          <w:szCs w:val="18"/>
          <w:color w:val="auto"/>
        </w:rPr>
        <w:t>. By accepting this Agreement and the Award evidenced hereby, the Participant agrees and acknowledges that the Participant has received and read a copy of the Plan. The Option is subject to the Plan.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60" w:type="dxa"/>
            <w:vAlign w:val="bottom"/>
          </w:tcPr>
          <w:p>
            <w:pPr>
              <w:spacing w:after="0"/>
              <w:rPr>
                <w:sz w:val="20"/>
                <w:szCs w:val="20"/>
                <w:color w:val="auto"/>
              </w:rPr>
            </w:pPr>
            <w:r>
              <w:rPr>
                <w:rFonts w:ascii="Arial" w:cs="Arial" w:eastAsia="Arial" w:hAnsi="Arial"/>
                <w:sz w:val="18"/>
                <w:szCs w:val="18"/>
                <w:color w:val="auto"/>
              </w:rPr>
              <w:t>ROGER FARAH</w:t>
            </w:r>
          </w:p>
        </w:tc>
        <w:tc>
          <w:tcPr>
            <w:tcW w:w="7500" w:type="dxa"/>
            <w:vAlign w:val="bottom"/>
            <w:gridSpan w:val="4"/>
          </w:tcPr>
          <w:p>
            <w:pPr>
              <w:ind w:left="4160"/>
              <w:spacing w:after="0"/>
              <w:rPr>
                <w:sz w:val="20"/>
                <w:szCs w:val="20"/>
                <w:color w:val="auto"/>
              </w:rPr>
            </w:pPr>
            <w:r>
              <w:rPr>
                <w:rFonts w:ascii="Arial" w:cs="Arial" w:eastAsia="Arial" w:hAnsi="Arial"/>
                <w:sz w:val="18"/>
                <w:szCs w:val="18"/>
                <w:color w:val="auto"/>
                <w:w w:val="99"/>
              </w:rPr>
              <w:t>POLO RALPH LAUREN CORPORATION</w:t>
            </w:r>
          </w:p>
        </w:tc>
      </w:tr>
      <w:tr>
        <w:trPr>
          <w:trHeight w:val="608"/>
        </w:trPr>
        <w:tc>
          <w:tcPr>
            <w:tcW w:w="1560" w:type="dxa"/>
            <w:vAlign w:val="bottom"/>
          </w:tcPr>
          <w:p>
            <w:pPr>
              <w:ind w:left="240"/>
              <w:spacing w:after="0"/>
              <w:rPr>
                <w:sz w:val="20"/>
                <w:szCs w:val="20"/>
                <w:color w:val="auto"/>
              </w:rPr>
            </w:pPr>
            <w:r>
              <w:rPr>
                <w:rFonts w:ascii="Arial" w:cs="Arial" w:eastAsia="Arial" w:hAnsi="Arial"/>
                <w:sz w:val="18"/>
                <w:szCs w:val="18"/>
                <w:color w:val="auto"/>
              </w:rPr>
              <w:t>/s/ Roger Farah</w:t>
            </w:r>
          </w:p>
        </w:tc>
        <w:tc>
          <w:tcPr>
            <w:tcW w:w="7500" w:type="dxa"/>
            <w:vAlign w:val="bottom"/>
            <w:gridSpan w:val="4"/>
          </w:tcPr>
          <w:p>
            <w:pPr>
              <w:ind w:left="4160"/>
              <w:spacing w:after="0"/>
              <w:rPr>
                <w:sz w:val="20"/>
                <w:szCs w:val="20"/>
                <w:color w:val="auto"/>
              </w:rPr>
            </w:pPr>
            <w:r>
              <w:rPr>
                <w:rFonts w:ascii="Arial" w:cs="Arial" w:eastAsia="Arial" w:hAnsi="Arial"/>
                <w:sz w:val="18"/>
                <w:szCs w:val="18"/>
                <w:color w:val="auto"/>
              </w:rPr>
              <w:t>By:   /s/ Mitchell Kosh</w:t>
            </w:r>
          </w:p>
        </w:tc>
      </w:tr>
      <w:tr>
        <w:trPr>
          <w:trHeight w:val="20"/>
        </w:trPr>
        <w:tc>
          <w:tcPr>
            <w:tcW w:w="156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560" w:type="dxa"/>
            <w:vAlign w:val="bottom"/>
          </w:tcPr>
          <w:p>
            <w:pPr>
              <w:spacing w:after="0"/>
              <w:rPr>
                <w:sz w:val="24"/>
                <w:szCs w:val="24"/>
                <w:color w:val="auto"/>
              </w:rPr>
            </w:pPr>
          </w:p>
        </w:tc>
        <w:tc>
          <w:tcPr>
            <w:tcW w:w="7500" w:type="dxa"/>
            <w:vAlign w:val="bottom"/>
            <w:gridSpan w:val="4"/>
          </w:tcPr>
          <w:p>
            <w:pPr>
              <w:ind w:left="4160"/>
              <w:spacing w:after="0"/>
              <w:rPr>
                <w:sz w:val="20"/>
                <w:szCs w:val="20"/>
                <w:color w:val="auto"/>
              </w:rPr>
            </w:pPr>
            <w:r>
              <w:rPr>
                <w:rFonts w:ascii="Arial" w:cs="Arial" w:eastAsia="Arial" w:hAnsi="Arial"/>
                <w:sz w:val="18"/>
                <w:szCs w:val="18"/>
                <w:color w:val="auto"/>
                <w:w w:val="89"/>
              </w:rPr>
              <w:t>Title: Senior Vice President Human Resources</w:t>
            </w:r>
          </w:p>
        </w:tc>
      </w:tr>
      <w:tr>
        <w:trPr>
          <w:trHeight w:val="426"/>
        </w:trPr>
        <w:tc>
          <w:tcPr>
            <w:tcW w:w="1560" w:type="dxa"/>
            <w:vAlign w:val="bottom"/>
          </w:tcPr>
          <w:p>
            <w:pPr>
              <w:spacing w:after="0"/>
              <w:rPr>
                <w:sz w:val="24"/>
                <w:szCs w:val="24"/>
                <w:color w:val="auto"/>
              </w:rPr>
            </w:pPr>
          </w:p>
        </w:tc>
        <w:tc>
          <w:tcPr>
            <w:tcW w:w="442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bl>
    <w:p>
      <w:pPr>
        <w:sectPr>
          <w:pgSz w:w="11900" w:h="16838" w:orient="portrait"/>
          <w:cols w:equalWidth="0" w:num="1">
            <w:col w:w="11400"/>
          </w:cols>
          <w:pgMar w:left="240" w:top="935" w:right="25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10.21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DEFERRED COMPENSATION AGREEMENT</w:t>
      </w:r>
    </w:p>
    <w:p>
      <w:pPr>
        <w:spacing w:after="0" w:line="189" w:lineRule="exact"/>
        <w:rPr>
          <w:sz w:val="20"/>
          <w:szCs w:val="20"/>
          <w:color w:val="auto"/>
        </w:rPr>
      </w:pPr>
    </w:p>
    <w:p>
      <w:pPr>
        <w:ind w:firstLine="215"/>
        <w:spacing w:after="0" w:line="277" w:lineRule="auto"/>
        <w:rPr>
          <w:sz w:val="20"/>
          <w:szCs w:val="20"/>
          <w:color w:val="auto"/>
        </w:rPr>
      </w:pPr>
      <w:r>
        <w:rPr>
          <w:rFonts w:ascii="Arial" w:cs="Arial" w:eastAsia="Arial" w:hAnsi="Arial"/>
          <w:sz w:val="18"/>
          <w:szCs w:val="18"/>
          <w:color w:val="auto"/>
        </w:rPr>
        <w:t>AGREEMENT made as of the 19</w:t>
      </w:r>
      <w:r>
        <w:rPr>
          <w:rFonts w:ascii="Arial" w:cs="Arial" w:eastAsia="Arial" w:hAnsi="Arial"/>
          <w:sz w:val="15"/>
          <w:szCs w:val="15"/>
          <w:color w:val="auto"/>
        </w:rPr>
        <w:t>th</w:t>
      </w:r>
      <w:r>
        <w:rPr>
          <w:rFonts w:ascii="Arial" w:cs="Arial" w:eastAsia="Arial" w:hAnsi="Arial"/>
          <w:sz w:val="18"/>
          <w:szCs w:val="18"/>
          <w:color w:val="auto"/>
        </w:rPr>
        <w:t xml:space="preserve"> day of September, 2002, by and between Polo Ralph Lauren Corporation, a corporation organized under the laws of the State of Delaware (the “Company”), and Roger N. Farah (the “Executive”).</w:t>
      </w:r>
    </w:p>
    <w:p>
      <w:pPr>
        <w:spacing w:after="0" w:line="130" w:lineRule="exact"/>
        <w:rPr>
          <w:sz w:val="20"/>
          <w:szCs w:val="20"/>
          <w:color w:val="auto"/>
        </w:rPr>
      </w:pPr>
    </w:p>
    <w:p>
      <w:pPr>
        <w:ind w:right="40" w:firstLine="222"/>
        <w:spacing w:after="0" w:line="308" w:lineRule="auto"/>
        <w:rPr>
          <w:sz w:val="20"/>
          <w:szCs w:val="20"/>
          <w:color w:val="auto"/>
        </w:rPr>
      </w:pPr>
      <w:r>
        <w:rPr>
          <w:rFonts w:ascii="Arial" w:cs="Arial" w:eastAsia="Arial" w:hAnsi="Arial"/>
          <w:sz w:val="17"/>
          <w:szCs w:val="17"/>
          <w:color w:val="auto"/>
        </w:rPr>
        <w:t>The Company recognizes that the Executive’s contribution to the growth and success of the Company has been substantial. The Company desires to assure itself of the continued employment of the Executive by providing an incentive for him to continue his employment with the Company.</w:t>
      </w:r>
    </w:p>
    <w:p>
      <w:pPr>
        <w:spacing w:after="0" w:line="120" w:lineRule="exact"/>
        <w:rPr>
          <w:sz w:val="20"/>
          <w:szCs w:val="20"/>
          <w:color w:val="auto"/>
        </w:rPr>
      </w:pPr>
    </w:p>
    <w:p>
      <w:pPr>
        <w:jc w:val="both"/>
        <w:ind w:right="180" w:firstLine="225"/>
        <w:spacing w:after="0" w:line="264" w:lineRule="auto"/>
        <w:rPr>
          <w:sz w:val="20"/>
          <w:szCs w:val="20"/>
          <w:color w:val="auto"/>
        </w:rPr>
      </w:pPr>
      <w:r>
        <w:rPr>
          <w:rFonts w:ascii="Arial" w:cs="Arial" w:eastAsia="Arial" w:hAnsi="Arial"/>
          <w:sz w:val="18"/>
          <w:szCs w:val="18"/>
          <w:color w:val="auto"/>
        </w:rPr>
        <w:t>In order to effect the foregoing, the Company and the Executive wish to enter into a Deferred Compensation Agreement on the terms and conditions set forth below, as provided for in the Amended and Restated Employment Agreement, dated as of July 23, 2002, between the Company and the Executive (the “Employment Agreement”).</w:t>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Accordingly, in consideration of the premises and covenants hereinafter contained, the parties hereto agree as follows: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Deferred Compensation Account; Contributions to Trust</w:t>
      </w:r>
      <w:r>
        <w:rPr>
          <w:rFonts w:ascii="Arial" w:cs="Arial" w:eastAsia="Arial" w:hAnsi="Arial"/>
          <w:sz w:val="18"/>
          <w:szCs w:val="18"/>
          <w:color w:val="auto"/>
        </w:rPr>
        <w:t>.</w:t>
      </w:r>
    </w:p>
    <w:p>
      <w:pPr>
        <w:spacing w:after="0" w:line="198" w:lineRule="exact"/>
        <w:rPr>
          <w:sz w:val="20"/>
          <w:szCs w:val="20"/>
          <w:color w:val="auto"/>
        </w:rPr>
      </w:pPr>
    </w:p>
    <w:p>
      <w:pPr>
        <w:ind w:right="80" w:firstLine="458"/>
        <w:spacing w:after="0" w:line="277" w:lineRule="auto"/>
        <w:tabs>
          <w:tab w:leader="none" w:pos="69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Company shall credit to a book reserve (the “Deferred Compensation Account”) established for this purpose the aggregate amount of $250,000 per year for each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5" w:name="page136"/>
    <w:bookmarkEnd w:id="135"/>
    <w:p>
      <w:pPr>
        <w:spacing w:after="0" w:line="255" w:lineRule="auto"/>
        <w:rPr>
          <w:sz w:val="20"/>
          <w:szCs w:val="20"/>
          <w:color w:val="auto"/>
        </w:rPr>
      </w:pPr>
      <w:r>
        <w:rPr>
          <w:rFonts w:ascii="Arial" w:cs="Arial" w:eastAsia="Arial" w:hAnsi="Arial"/>
          <w:sz w:val="18"/>
          <w:szCs w:val="18"/>
          <w:color w:val="auto"/>
        </w:rPr>
        <w:t>Company’s fiscal years from fiscal 2003 through fiscal 2008, inclusive, in monthly installments, provided that the Executive is employed with the Company on the last business day of such month, and provided further that the initial payment to be made will equal the aggregate amount that would have been credited if this Agreement had been dated as of July 23</w:t>
      </w:r>
      <w:r>
        <w:rPr>
          <w:rFonts w:ascii="Arial" w:cs="Arial" w:eastAsia="Arial" w:hAnsi="Arial"/>
          <w:sz w:val="15"/>
          <w:szCs w:val="15"/>
          <w:color w:val="auto"/>
        </w:rPr>
        <w:t>rd</w:t>
      </w:r>
      <w:r>
        <w:rPr>
          <w:rFonts w:ascii="Arial" w:cs="Arial" w:eastAsia="Arial" w:hAnsi="Arial"/>
          <w:sz w:val="18"/>
          <w:szCs w:val="18"/>
          <w:color w:val="auto"/>
        </w:rPr>
        <w:t>, 2002. The amount of the monthly installments shall be equal within each fiscal year. The Executive shall select one or more investment elections from the mutual funds managed by the Vanguard Group of Investment Companies, subject to their rules, in which the amounts in his Deferred Compensation Account will be notionally invested. The Deferred Compensation Account shall be debited or credited with amounts representing all losses or earnings of such notional investments.</w:t>
      </w:r>
    </w:p>
    <w:p>
      <w:pPr>
        <w:spacing w:after="0" w:line="166" w:lineRule="exact"/>
        <w:rPr>
          <w:sz w:val="20"/>
          <w:szCs w:val="20"/>
          <w:color w:val="auto"/>
        </w:rPr>
      </w:pPr>
    </w:p>
    <w:p>
      <w:pPr>
        <w:ind w:firstLine="458"/>
        <w:spacing w:after="0" w:line="259" w:lineRule="auto"/>
        <w:tabs>
          <w:tab w:leader="none" w:pos="70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Company agrees to establish a grantor trust (the “Trust”)” to which any amounts represented by credits made to the Deferred Compensation Account in accordance with the first sentence of paragraph (a) above shall be contributed by the Company on the last business day of each month. Such Trust shall be established pursuant to the Trust Agreement, as amended, annexed as Exhibit A hereto (such agreement as further amended or supplemented and any successor agreement hereinafter referred to as the “Trust Agreement”).</w:t>
      </w:r>
    </w:p>
    <w:p>
      <w:pPr>
        <w:spacing w:after="0" w:line="146" w:lineRule="exact"/>
        <w:rPr>
          <w:rFonts w:ascii="Arial" w:cs="Arial" w:eastAsia="Arial" w:hAnsi="Arial"/>
          <w:sz w:val="18"/>
          <w:szCs w:val="18"/>
          <w:color w:val="auto"/>
        </w:rPr>
      </w:pPr>
    </w:p>
    <w:p>
      <w:pPr>
        <w:ind w:left="700" w:hanging="242"/>
        <w:spacing w:after="0"/>
        <w:tabs>
          <w:tab w:leader="none" w:pos="7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Executive agrees on behalf of himself and his designated beneficiary to assume all risk in connection with</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36" w:name="page137"/>
    <w:bookmarkEnd w:id="136"/>
    <w:p>
      <w:pPr>
        <w:ind w:right="80"/>
        <w:spacing w:after="0" w:line="277" w:lineRule="auto"/>
        <w:rPr>
          <w:sz w:val="20"/>
          <w:szCs w:val="20"/>
          <w:color w:val="auto"/>
        </w:rPr>
      </w:pPr>
      <w:r>
        <w:rPr>
          <w:rFonts w:ascii="Arial" w:cs="Arial" w:eastAsia="Arial" w:hAnsi="Arial"/>
          <w:sz w:val="18"/>
          <w:szCs w:val="18"/>
          <w:color w:val="auto"/>
        </w:rPr>
        <w:t>any debits or credits made to his Deferred Compensation Account by reason of losses or earnings on the notional investments selected by him in accordance with Section 1(a) (or by reason of the Executive’s failure to select any such notional investment).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Benefit Payments</w:t>
      </w:r>
      <w:r>
        <w:rPr>
          <w:rFonts w:ascii="Arial" w:cs="Arial" w:eastAsia="Arial" w:hAnsi="Arial"/>
          <w:sz w:val="18"/>
          <w:szCs w:val="18"/>
          <w:color w:val="auto"/>
        </w:rPr>
        <w:t>.</w:t>
      </w:r>
    </w:p>
    <w:p>
      <w:pPr>
        <w:spacing w:after="0" w:line="185" w:lineRule="exact"/>
        <w:rPr>
          <w:sz w:val="20"/>
          <w:szCs w:val="20"/>
          <w:color w:val="auto"/>
        </w:rPr>
      </w:pPr>
    </w:p>
    <w:p>
      <w:pPr>
        <w:ind w:right="20" w:firstLine="458"/>
        <w:spacing w:after="0" w:line="259" w:lineRule="auto"/>
        <w:tabs>
          <w:tab w:leader="none" w:pos="69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On the earlier of (i) January 1, 2012 and (ii) the earliest date reasonably practicable following the Executive’s termination of employment with the Company for any reason, the Company shall pay (or cause to be paid from the Trust) to the Executive or to the Executive’s beneficiary or estate (in the event of his death) in cash a lump sum amount equal to the vested amount (determined pursuant to Section 3 hereof) reflected in the Deferred Compensation Account as of the date of such termination.</w:t>
      </w:r>
    </w:p>
    <w:p>
      <w:pPr>
        <w:spacing w:after="0" w:line="146" w:lineRule="exact"/>
        <w:rPr>
          <w:rFonts w:ascii="Arial" w:cs="Arial" w:eastAsia="Arial" w:hAnsi="Arial"/>
          <w:sz w:val="18"/>
          <w:szCs w:val="18"/>
          <w:color w:val="auto"/>
        </w:rPr>
      </w:pPr>
    </w:p>
    <w:p>
      <w:pPr>
        <w:ind w:firstLine="458"/>
        <w:spacing w:after="0" w:line="312" w:lineRule="auto"/>
        <w:tabs>
          <w:tab w:leader="none" w:pos="702"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beneficiary referred to in paragraph (a) above may be designated or changed by the Executive (without the consent of any prior beneficiary) on a form provided by the Company and delivered to the Company before his death. If no such beneficiary shall have been designated, or if no designated beneficiary shall survive the Executive, the lump sum payment payable under paragraph (a) above shall be payable to the Executive’s estate.</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198" w:lineRule="exact"/>
        <w:rPr>
          <w:sz w:val="20"/>
          <w:szCs w:val="20"/>
          <w:color w:val="auto"/>
        </w:rPr>
      </w:pPr>
    </w:p>
    <w:p>
      <w:pPr>
        <w:ind w:firstLine="458"/>
        <w:spacing w:after="0" w:line="276" w:lineRule="auto"/>
        <w:tabs>
          <w:tab w:leader="none" w:pos="69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Except as provided in paragraph (b) below, the Executive’s interest in the Deferred Compensation Account shall vest at the rate of 20% per year, commencing on the first anniversary of the date of this Agreement, and on each of the following four anniversaries thereof, thereby becoming 100% vested on July 23, 2007, but only if the Executive is actively employed by the Company and has remained continuously so employed from the date hereof to and including the applicable anniversary date. The Executive shall not be deemed to be actively employed for a period during which the Executive remains on the payroll for the purpose of collecting salary pursuant to a severance or similar termination arrangement.</w:t>
      </w:r>
    </w:p>
    <w:p>
      <w:pPr>
        <w:spacing w:after="0" w:line="132" w:lineRule="exact"/>
        <w:rPr>
          <w:rFonts w:ascii="Arial" w:cs="Arial" w:eastAsia="Arial" w:hAnsi="Arial"/>
          <w:sz w:val="17"/>
          <w:szCs w:val="17"/>
          <w:color w:val="auto"/>
        </w:rPr>
      </w:pPr>
    </w:p>
    <w:p>
      <w:pPr>
        <w:ind w:right="220" w:firstLine="458"/>
        <w:spacing w:after="0" w:line="259" w:lineRule="auto"/>
        <w:tabs>
          <w:tab w:leader="none" w:pos="70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the event that (i) the Executive dies, (ii) the Executive’s employment is terminated by reason of Disability (as defined in the Employment Agreement), (iii) the Executive’s employment is terminated by the Company for other than Cause (as defined in the Employment Agreement) or (iv) the Executive terminates his employment for Good Reason (as defined in the Employment Agreement), then the Executive’s Deferred Compensation Account shall be 100% vested.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Unfunded Arrangement.</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 is the intention of the parties hereto that the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38" w:name="page139"/>
    <w:bookmarkEnd w:id="138"/>
    <w:p>
      <w:pPr>
        <w:spacing w:after="0" w:line="291" w:lineRule="auto"/>
        <w:rPr>
          <w:sz w:val="20"/>
          <w:szCs w:val="20"/>
          <w:color w:val="auto"/>
        </w:rPr>
      </w:pPr>
      <w:r>
        <w:rPr>
          <w:rFonts w:ascii="Arial" w:cs="Arial" w:eastAsia="Arial" w:hAnsi="Arial"/>
          <w:sz w:val="16"/>
          <w:szCs w:val="16"/>
          <w:color w:val="auto"/>
        </w:rPr>
        <w:t>arrangement described in this Agreement be unfunded for tax purposes and for purposes of Title I of the Employee Retirement Income Security Act of 1974, as amended. Nothing contained in this Agreement or the Trust Agreement and no action taken pursuant to the provisions of this Agreement or the Trust Agreement shall create or be construed to create a fiduciary relationship between the Company and the Executive, his designated beneficiary or any other person. Any funds that may be invested under the provisions of the Trust Agreement shall continue for all purposes to be a part of the general funds of the Company and no person other than the Company shall by virtue of the provisions of this Agreement have any interest in such funds. To the extent that any person acquires a right to receive payments from the Company under this Agreement, such right shall be no greater than the right of any unsecured general creditor of the Company. This Agreement constitutes a mere promise by the Company to make a benefit payment in the future.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Nonalienation of Benefits</w:t>
      </w:r>
      <w:r>
        <w:rPr>
          <w:rFonts w:ascii="Arial" w:cs="Arial" w:eastAsia="Arial" w:hAnsi="Arial"/>
          <w:sz w:val="18"/>
          <w:szCs w:val="18"/>
          <w:color w:val="auto"/>
        </w:rPr>
        <w:t>.</w:t>
      </w:r>
    </w:p>
    <w:p>
      <w:pPr>
        <w:spacing w:after="0" w:line="185"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right of the Executive or any other person to the payment of deferred compensation or other benefits under this Agreement shall not be subject in any manner to anticipation, alienation, sale, transfer, assignment, pledge, encumbrance, attachment or garnishment by creditors of the Executive or the Executive’s beneficiary or estate.</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No Right to Employment</w:t>
      </w:r>
      <w:r>
        <w:rPr>
          <w:rFonts w:ascii="Arial" w:cs="Arial" w:eastAsia="Arial" w:hAnsi="Arial"/>
          <w:sz w:val="18"/>
          <w:szCs w:val="18"/>
          <w:color w:val="auto"/>
        </w:rPr>
        <w:t>.</w:t>
      </w:r>
    </w:p>
    <w:p>
      <w:pPr>
        <w:spacing w:after="0" w:line="198"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Nothing contained herein shall be construed as conferring upon the Executive the right to continue in the employ of the Company as an executive or in any other capacity.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Effect on Other Benefits</w:t>
      </w:r>
      <w:r>
        <w:rPr>
          <w:rFonts w:ascii="Arial" w:cs="Arial" w:eastAsia="Arial" w:hAnsi="Arial"/>
          <w:sz w:val="18"/>
          <w:szCs w:val="18"/>
          <w:color w:val="auto"/>
        </w:rPr>
        <w:t>.</w:t>
      </w:r>
    </w:p>
    <w:p>
      <w:pPr>
        <w:spacing w:after="0" w:line="185" w:lineRule="exact"/>
        <w:rPr>
          <w:sz w:val="20"/>
          <w:szCs w:val="20"/>
          <w:color w:val="auto"/>
        </w:rPr>
      </w:pPr>
    </w:p>
    <w:p>
      <w:pPr>
        <w:ind w:firstLine="215"/>
        <w:spacing w:after="0" w:line="308" w:lineRule="auto"/>
        <w:rPr>
          <w:sz w:val="20"/>
          <w:szCs w:val="20"/>
          <w:color w:val="auto"/>
        </w:rPr>
      </w:pPr>
      <w:r>
        <w:rPr>
          <w:rFonts w:ascii="Arial" w:cs="Arial" w:eastAsia="Arial" w:hAnsi="Arial"/>
          <w:sz w:val="17"/>
          <w:szCs w:val="17"/>
          <w:color w:val="auto"/>
        </w:rPr>
        <w:t>Any deferred compensation payable under this Agreement shall not be deemed salary or other compensation to the Executive for the purpose of computing benefits to which he may be entitled under any pension plan or other arrangement of the Company for the benefit of its employees.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Binding Agreement</w:t>
      </w:r>
      <w:r>
        <w:rPr>
          <w:rFonts w:ascii="Arial" w:cs="Arial" w:eastAsia="Arial" w:hAnsi="Arial"/>
          <w:sz w:val="18"/>
          <w:szCs w:val="18"/>
          <w:color w:val="auto"/>
        </w:rPr>
        <w:t>.</w:t>
      </w:r>
    </w:p>
    <w:p>
      <w:pPr>
        <w:spacing w:after="0" w:line="185"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This Agreement shall be binding upon and inure to the benefit of the Company, its successors and assigns and the Executive and his heirs, executors, administrators and legal representatives.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Agreement shall be construed in accordance with and governed by the laws of the State of New York without regard to its conflict of laws principles.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Validity</w:t>
      </w:r>
      <w:r>
        <w:rPr>
          <w:rFonts w:ascii="Arial" w:cs="Arial" w:eastAsia="Arial" w:hAnsi="Arial"/>
          <w:sz w:val="18"/>
          <w:szCs w:val="18"/>
          <w:color w:val="auto"/>
        </w:rPr>
        <w: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0" w:name="page141"/>
    <w:bookmarkEnd w:id="140"/>
    <w:p>
      <w:pPr>
        <w:ind w:right="140" w:firstLine="222"/>
        <w:spacing w:after="0" w:line="277" w:lineRule="auto"/>
        <w:rPr>
          <w:sz w:val="20"/>
          <w:szCs w:val="20"/>
          <w:color w:val="auto"/>
        </w:rPr>
      </w:pPr>
      <w:r>
        <w:rPr>
          <w:rFonts w:ascii="Arial" w:cs="Arial" w:eastAsia="Arial" w:hAnsi="Arial"/>
          <w:sz w:val="18"/>
          <w:szCs w:val="18"/>
          <w:color w:val="auto"/>
        </w:rPr>
        <w:t>The invalidity or unenforceability of any provision or provisions of this Agreement shall not affect the validity or enforceability of any other provision of this Agreement, which shall remain in full force and effect.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185"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This Agreement may be executed in one or more counterparts, each of which shall be deemed to be an original but all of which together will constitute one and the same instrument.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Arbitration</w:t>
      </w:r>
      <w:r>
        <w:rPr>
          <w:rFonts w:ascii="Arial" w:cs="Arial" w:eastAsia="Arial" w:hAnsi="Arial"/>
          <w:sz w:val="18"/>
          <w:szCs w:val="18"/>
          <w:color w:val="auto"/>
        </w:rPr>
        <w:t>.</w:t>
      </w:r>
    </w:p>
    <w:p>
      <w:pPr>
        <w:spacing w:after="0" w:line="198" w:lineRule="exact"/>
        <w:rPr>
          <w:sz w:val="20"/>
          <w:szCs w:val="20"/>
          <w:color w:val="auto"/>
        </w:rPr>
      </w:pPr>
    </w:p>
    <w:p>
      <w:pPr>
        <w:ind w:firstLine="215"/>
        <w:spacing w:after="0" w:line="257" w:lineRule="auto"/>
        <w:rPr>
          <w:sz w:val="20"/>
          <w:szCs w:val="20"/>
          <w:color w:val="auto"/>
        </w:rPr>
      </w:pPr>
      <w:r>
        <w:rPr>
          <w:rFonts w:ascii="Arial" w:cs="Arial" w:eastAsia="Arial" w:hAnsi="Arial"/>
          <w:sz w:val="18"/>
          <w:szCs w:val="18"/>
          <w:color w:val="auto"/>
        </w:rPr>
        <w:t>Any dispute or controversy arising under or in connection with this Agreement shall be settled exclusively by arbitration in the City of New York in accordance with the rules of the American Arbitration Association then in effect. Judgment may be entered on the arbitrator’s award in any court having jurisdiction. Fees and expenses payable to the American Arbitration Association and the arbitration shall be shared equally by the Company and by the Executive, but the parties shall otherwise bear their own costs in connection with the arbitration; provided that the arbitrator shall be entitled to include as part of the award to the prevailing party the</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reasonable legal fees and expenses incurred by such party in an amount not to exceed $25,000.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Agreement may be amended in whole or in part by a written instrument executed by both parties hereto.</w:t>
      </w:r>
    </w:p>
    <w:p>
      <w:pPr>
        <w:spacing w:after="0" w:line="185"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IN WITNESS WHEREOF, the Company has caused this Agreement to be executed by its duly authorized officers and the Executive has hereunto set his hand and seal as of the date first above written.</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POLO RALPH LAUREN CORPORATION</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Mitchell A. Kosh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256413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Roger N. Farah</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Roger N. Farah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936" w:right="39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color w:val="auto"/>
        </w:rPr>
        <w:t>EXHIBIT 10.25</w:t>
      </w:r>
    </w:p>
    <w:p>
      <w:pPr>
        <w:spacing w:after="0" w:line="194" w:lineRule="exact"/>
        <w:rPr>
          <w:sz w:val="20"/>
          <w:szCs w:val="20"/>
          <w:color w:val="auto"/>
        </w:rPr>
      </w:pPr>
    </w:p>
    <w:p>
      <w:pPr>
        <w:jc w:val="center"/>
        <w:ind w:left="260" w:right="2640"/>
        <w:spacing w:after="0" w:line="266" w:lineRule="auto"/>
        <w:rPr>
          <w:sz w:val="20"/>
          <w:szCs w:val="20"/>
          <w:color w:val="auto"/>
        </w:rPr>
      </w:pPr>
      <w:r>
        <w:rPr>
          <w:rFonts w:ascii="Arial" w:cs="Arial" w:eastAsia="Arial" w:hAnsi="Arial"/>
          <w:sz w:val="18"/>
          <w:szCs w:val="18"/>
          <w:b w:val="1"/>
          <w:bCs w:val="1"/>
          <w:color w:val="auto"/>
        </w:rPr>
        <w:t>THIS DOCUMENT CONSTITUTES PART OF A PROSPECTUS COVERING SECURITIES THAT HAVE BEEN REGISTERED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277620" cy="3086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762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Performance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Unit Award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ind w:left="10680"/>
        <w:spacing w:after="0"/>
        <w:rPr>
          <w:sz w:val="20"/>
          <w:szCs w:val="20"/>
          <w:color w:val="auto"/>
        </w:rPr>
      </w:pPr>
      <w:r>
        <w:rPr>
          <w:rFonts w:ascii="Arial" w:cs="Arial" w:eastAsia="Arial" w:hAnsi="Arial"/>
          <w:sz w:val="15"/>
          <w:szCs w:val="15"/>
          <w:i w:val="1"/>
          <w:iCs w:val="1"/>
          <w:color w:val="auto"/>
        </w:rPr>
        <w:t>June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583565</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u w:val="single" w:color="auto"/>
          <w:color w:val="auto"/>
        </w:rPr>
        <w:t>Highlights of the Award</w:t>
      </w:r>
    </w:p>
    <w:p>
      <w:pPr>
        <w:spacing w:after="0" w:line="202"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i w:val="1"/>
          <w:iCs w:val="1"/>
          <w:color w:val="auto"/>
        </w:rPr>
        <w:t xml:space="preserve">This Overview is qualified in its entirety by reference to the accompanying Memorandum to Participants in the Polo Ralph Lauren 1997 Long-Term Stock Incentive Plan and to the Plan itself. Copies of the Memorandum and the Plan are available from your Human Resources Department or by logging on to the Intranet at </w:t>
      </w:r>
      <w:r>
        <w:rPr>
          <w:rFonts w:ascii="Arial" w:cs="Arial" w:eastAsia="Arial" w:hAnsi="Arial"/>
          <w:sz w:val="18"/>
          <w:szCs w:val="18"/>
          <w:i w:val="1"/>
          <w:iCs w:val="1"/>
          <w:u w:val="single" w:color="auto"/>
          <w:color w:val="auto"/>
        </w:rPr>
        <w:t>http://poloweb/HRWeb/Benefits</w:t>
      </w:r>
      <w:r>
        <w:rPr>
          <w:rFonts w:ascii="Arial" w:cs="Arial" w:eastAsia="Arial" w:hAnsi="Arial"/>
          <w:sz w:val="18"/>
          <w:szCs w:val="18"/>
          <w:b w:val="1"/>
          <w:bCs w:val="1"/>
          <w:i w:val="1"/>
          <w:iCs w:val="1"/>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June 9, 1997, the Board of Directors adopted the Polo Ralph Lauren Corporation 1997 Long-Term Stock Incentive Plan (as amended and restated, “the Plan”), which authorizes the granting of equity awards to officers and other employees and third party service providers of the Company and its subsidiaries by the Compensation Committee of the Board of Directors.</w:t>
      </w:r>
    </w:p>
    <w:p>
      <w:pPr>
        <w:spacing w:after="0" w:line="15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 Restricted Performance Share Unit award granted under the Plan provides a participant the right to receive shares of Polo Ralph Lauren stock (traded on the New York Stock Exchange: RL) based on the achievement of specified performance goals over a specified period, generally three financial years. The performance measure(s) are set by the Compensation Committee of the Board of Directors at the time of grant, and may include one or more of the following:</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Earnings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Earnings Per Share</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Revenue or Net Revenue Growth</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Gross Profit or Gross Profit Growth</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Return on Assets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Cash Flow</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Overview explains the Restricted Performance Share Unit Award program, its benefits to you as a participant and outlines the various steps you need to take in regard to managing your restricted performance share unit award.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intent of the award is to provide additional performance-based compensation opportunities:</w:t>
      </w:r>
    </w:p>
    <w:p>
      <w:pPr>
        <w:spacing w:after="0" w:line="225" w:lineRule="exact"/>
        <w:rPr>
          <w:sz w:val="20"/>
          <w:szCs w:val="20"/>
          <w:color w:val="auto"/>
        </w:rPr>
      </w:pPr>
    </w:p>
    <w:p>
      <w:pPr>
        <w:ind w:left="260" w:hanging="252"/>
        <w:spacing w:after="0"/>
        <w:tabs>
          <w:tab w:leader="none" w:pos="2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For selected executives, to link a portion of their long-term incentive to the achievement of specific corporate performance objectives.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attract and retain individuals of superior talent.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PLAN ADMINISTRATION</w:t>
      </w:r>
    </w:p>
    <w:p>
      <w:pPr>
        <w:spacing w:after="0" w:line="20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Polo Ralph Lauren’s Human Resources Department administers the Restricted Performance Share Unit Award program. Record keeping for restricted performance share unit awards is performed by Merrill Lynch.</w:t>
      </w:r>
    </w:p>
    <w:p>
      <w:pPr>
        <w:spacing w:after="0" w:line="1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Company’s Board of Directors reserves the right to amend, modify, or terminate the plan at any time. No such amendment to the plan would adversely affect any restricted performance share unit awards then outstanding.</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If you have any questions regarding this overview, please consult the Memorandum to Participants or contact your local Human Resources generalist.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FOR GRANT</w:t>
      </w:r>
    </w:p>
    <w:p>
      <w:pPr>
        <w:spacing w:after="0" w:line="1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Restricted performance share unit awards are granted to individuals in key executive positions that have a significant impact on the strategic direction and business results of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Individuals in designated positions will generally receive each year both a stock option award and a restricted performance share unit award.</w:t>
      </w:r>
    </w:p>
    <w:p>
      <w:pPr>
        <w:spacing w:after="0" w:line="19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Guidelines have been established for the number of restricted performance share units that participants may receive. The guidelines reflect a position’s scope, accountability and impact on the organization.</w:t>
      </w:r>
    </w:p>
    <w:p>
      <w:pPr>
        <w:spacing w:after="0" w:line="130"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u w:val="single" w:color="auto"/>
          <w:color w:val="auto"/>
        </w:rPr>
        <w:t>Please note that the guidelines do not constitute a guarantee that any specific individual will receive a restricted performance share unit award, or a stock option award, in any given year or guarantee the number of shares (of either restricted performance share units or stock options) if a grant is made.</w:t>
      </w:r>
    </w:p>
    <w:p>
      <w:pPr>
        <w:spacing w:after="0" w:line="8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An employee who receives an Improvement Needed (I) or Unsatisfactory (U) rating on his/her annual performance evaluation is not eligible for either restricted performance share units or stock options in that fiscal year.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GRANTS AND PAYOUT SCHEDULE</w:t>
      </w:r>
    </w:p>
    <w:p>
      <w:pPr>
        <w:spacing w:after="0" w:line="18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At the time of grant, the award has a target number of share units. Threshold, Target, and Maximum levels of performance have been established for the measure(s) applicable to that award. The payout schedule will normally be as follows: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171"/>
        </w:trPr>
        <w:tc>
          <w:tcPr>
            <w:tcW w:w="7480" w:type="dxa"/>
            <w:vAlign w:val="bottom"/>
            <w:gridSpan w:val="2"/>
          </w:tcPr>
          <w:p>
            <w:pPr>
              <w:spacing w:after="0"/>
              <w:rPr>
                <w:sz w:val="20"/>
                <w:szCs w:val="20"/>
                <w:color w:val="auto"/>
              </w:rPr>
            </w:pPr>
            <w:r>
              <w:rPr>
                <w:rFonts w:ascii="Arial" w:cs="Arial" w:eastAsia="Arial" w:hAnsi="Arial"/>
                <w:sz w:val="14"/>
                <w:szCs w:val="14"/>
                <w:b w:val="1"/>
                <w:bCs w:val="1"/>
                <w:color w:val="auto"/>
              </w:rPr>
              <w:t>Performance Level</w:t>
            </w:r>
          </w:p>
        </w:tc>
        <w:tc>
          <w:tcPr>
            <w:tcW w:w="300" w:type="dxa"/>
            <w:vAlign w:val="bottom"/>
          </w:tcPr>
          <w:p>
            <w:pPr>
              <w:spacing w:after="0"/>
              <w:rPr>
                <w:sz w:val="14"/>
                <w:szCs w:val="14"/>
                <w:color w:val="auto"/>
              </w:rPr>
            </w:pPr>
          </w:p>
        </w:tc>
        <w:tc>
          <w:tcPr>
            <w:tcW w:w="16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 of Goal Achieved</w:t>
            </w:r>
          </w:p>
        </w:tc>
        <w:tc>
          <w:tcPr>
            <w:tcW w:w="1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4"/>
              </w:rPr>
              <w:t>% of Target Share Units Paid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Threshold</w:t>
            </w: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Target</w:t>
            </w:r>
          </w:p>
        </w:tc>
        <w:tc>
          <w:tcPr>
            <w:tcW w:w="1960" w:type="dxa"/>
            <w:vAlign w:val="bottom"/>
            <w:gridSpan w:val="3"/>
          </w:tcPr>
          <w:p>
            <w:pPr>
              <w:jc w:val="right"/>
              <w:ind w:right="280"/>
              <w:spacing w:after="0"/>
              <w:rPr>
                <w:sz w:val="20"/>
                <w:szCs w:val="20"/>
                <w:color w:val="auto"/>
              </w:rPr>
            </w:pPr>
            <w:r>
              <w:rPr>
                <w:rFonts w:ascii="Arial" w:cs="Arial" w:eastAsia="Arial" w:hAnsi="Arial"/>
                <w:sz w:val="18"/>
                <w:szCs w:val="18"/>
                <w:color w:val="auto"/>
              </w:rPr>
              <w:t>100%</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Maximum</w:t>
            </w:r>
          </w:p>
        </w:tc>
        <w:tc>
          <w:tcPr>
            <w:tcW w:w="1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Note: Restricted Performance Share Unit awards interpolate between 70%-100% of target. No payout will be earned for performance below Threshold.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Once an award is given in any fiscal year, the measure(s), performance goals, or payout schedule will not be modified prior to the end of the award term.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for any future awards, the Compensation Committee may change the performance measure(s), goals and/or payout schedule.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An award granted in fiscal 2005 will mature at the end of fiscal 2007 and will be paid in fiscal 2008 (subject to achievement of the specified performance goals set for FY 2005-FY 2007) at approximately the same time as the Executive Incentive Plan (EIP).</w:t>
      </w:r>
    </w:p>
    <w:p>
      <w:pPr>
        <w:spacing w:after="0" w:line="1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Beginning with fiscal 2008, participants would have the opportunity to receive a LTI payout each year as awards previously granted would mature, as shown below:</w:t>
      </w:r>
    </w:p>
    <w:p>
      <w:pPr>
        <w:sectPr>
          <w:pgSz w:w="11900" w:h="16838" w:orient="portrait"/>
          <w:cols w:equalWidth="0" w:num="1">
            <w:col w:w="11420"/>
          </w:cols>
          <w:pgMar w:left="240" w:top="1143" w:right="239" w:bottom="1440" w:gutter="0" w:footer="0" w:header="0"/>
        </w:sectPr>
      </w:pP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color w:val="auto"/>
        </w:rPr>
        <w:t>Year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5829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FY05</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FY06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FY07</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w:t>
      </w:r>
      <w:r>
        <w:rPr>
          <w:rFonts w:ascii="Arial" w:cs="Arial" w:eastAsia="Arial" w:hAnsi="Arial"/>
          <w:sz w:val="16"/>
          <w:szCs w:val="16"/>
          <w:color w:val="auto"/>
        </w:rPr>
        <w:t>If at least Threshold performance is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413385</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20"/>
                <w:szCs w:val="20"/>
                <w:color w:val="auto"/>
              </w:rPr>
            </w:pPr>
            <w:r>
              <w:rPr>
                <w:rFonts w:ascii="Arial" w:cs="Arial" w:eastAsia="Arial" w:hAnsi="Arial"/>
                <w:sz w:val="14"/>
                <w:szCs w:val="14"/>
                <w:color w:val="auto"/>
                <w:w w:val="89"/>
              </w:rPr>
              <w:t>Performance Period</w:t>
            </w:r>
          </w:p>
        </w:tc>
        <w:tc>
          <w:tcPr>
            <w:tcW w:w="34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color w:val="auto"/>
                <w:w w:val="99"/>
              </w:rPr>
              <w:t xml:space="preserve">Year Paid </w:t>
            </w:r>
            <w:r>
              <w:rPr>
                <w:rFonts w:ascii="Arial" w:cs="Arial" w:eastAsia="Arial" w:hAnsi="Arial"/>
                <w:sz w:val="12"/>
                <w:szCs w:val="12"/>
                <w:color w:val="auto"/>
                <w:w w:val="99"/>
              </w:rPr>
              <w:t>1</w:t>
            </w:r>
          </w:p>
        </w:tc>
      </w:tr>
      <w:tr>
        <w:trPr>
          <w:trHeight w:val="195"/>
        </w:trPr>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FY05 — FY07</w:t>
            </w:r>
          </w:p>
        </w:tc>
        <w:tc>
          <w:tcPr>
            <w:tcW w:w="340" w:type="dxa"/>
            <w:vAlign w:val="bottom"/>
          </w:tcPr>
          <w:p>
            <w:pPr>
              <w:spacing w:after="0"/>
              <w:rPr>
                <w:sz w:val="16"/>
                <w:szCs w:val="16"/>
                <w:color w:val="auto"/>
              </w:rPr>
            </w:pPr>
          </w:p>
        </w:tc>
        <w:tc>
          <w:tcPr>
            <w:tcW w:w="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FY08</w:t>
            </w:r>
          </w:p>
        </w:tc>
        <w:tc>
          <w:tcPr>
            <w:tcW w:w="20" w:type="dxa"/>
            <w:vAlign w:val="bottom"/>
          </w:tcPr>
          <w:p>
            <w:pPr>
              <w:spacing w:after="0"/>
              <w:rPr>
                <w:sz w:val="16"/>
                <w:szCs w:val="16"/>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8"/>
              </w:rPr>
              <w:t>FY06 — FY08</w:t>
            </w:r>
          </w:p>
        </w:tc>
        <w:tc>
          <w:tcPr>
            <w:tcW w:w="34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FY09</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w w:val="98"/>
              </w:rPr>
              <w:t>FY07 — FY09</w:t>
            </w:r>
          </w:p>
        </w:tc>
        <w:tc>
          <w:tcPr>
            <w:tcW w:w="340" w:type="dxa"/>
            <w:vAlign w:val="bottom"/>
          </w:tcPr>
          <w:p>
            <w:pPr>
              <w:spacing w:after="0"/>
              <w:rPr>
                <w:sz w:val="20"/>
                <w:szCs w:val="20"/>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FY10</w:t>
            </w:r>
          </w:p>
        </w:tc>
      </w:tr>
      <w:tr>
        <w:trPr>
          <w:trHeight w:val="797"/>
        </w:trPr>
        <w:tc>
          <w:tcPr>
            <w:tcW w:w="1140" w:type="dxa"/>
            <w:vAlign w:val="bottom"/>
          </w:tcPr>
          <w:p>
            <w:pPr>
              <w:spacing w:after="0"/>
              <w:rPr>
                <w:sz w:val="24"/>
                <w:szCs w:val="24"/>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2">
            <w:col w:w="8420" w:space="720"/>
            <w:col w:w="2280"/>
          </w:cols>
          <w:pgMar w:left="240" w:top="1143" w:right="239" w:bottom="1440" w:gutter="0" w:footer="0" w:header="0"/>
          <w:type w:val="continuous"/>
        </w:sectPr>
      </w:pPr>
    </w:p>
    <w:bookmarkStart w:id="146" w:name="page147"/>
    <w:bookmarkEnd w:id="146"/>
    <w:p>
      <w:pPr>
        <w:spacing w:after="0"/>
        <w:rPr>
          <w:sz w:val="20"/>
          <w:szCs w:val="20"/>
          <w:color w:val="auto"/>
        </w:rPr>
      </w:pPr>
      <w:r>
        <w:rPr>
          <w:rFonts w:ascii="Arial" w:cs="Arial" w:eastAsia="Arial" w:hAnsi="Arial"/>
          <w:sz w:val="18"/>
          <w:szCs w:val="18"/>
          <w:u w:val="single" w:color="auto"/>
          <w:color w:val="auto"/>
        </w:rPr>
        <w:t>Example of awards and payouts to a Division SVP</w:t>
      </w:r>
      <w:r>
        <w:rPr>
          <w:rFonts w:ascii="Arial" w:cs="Arial" w:eastAsia="Arial" w:hAnsi="Arial"/>
          <w:sz w:val="18"/>
          <w:szCs w:val="18"/>
          <w:b w:val="1"/>
          <w:bCs w:val="1"/>
          <w:u w:val="single" w:color="auto"/>
          <w:color w:val="auto"/>
        </w:rPr>
        <w:t>:</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gridSpan w:val="2"/>
          </w:tcPr>
          <w:p>
            <w:pPr>
              <w:spacing w:after="0"/>
              <w:rPr>
                <w:sz w:val="20"/>
                <w:szCs w:val="20"/>
                <w:color w:val="auto"/>
              </w:rPr>
            </w:pPr>
            <w:r>
              <w:rPr>
                <w:rFonts w:ascii="Arial" w:cs="Arial" w:eastAsia="Arial" w:hAnsi="Arial"/>
                <w:sz w:val="14"/>
                <w:szCs w:val="14"/>
                <w:color w:val="auto"/>
              </w:rPr>
              <w:t>Year Granted</w:t>
            </w:r>
          </w:p>
        </w:tc>
        <w:tc>
          <w:tcPr>
            <w:tcW w:w="3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1"/>
              </w:rPr>
              <w:t>Performance Period</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ind w:left="240"/>
              <w:spacing w:after="0"/>
              <w:rPr>
                <w:sz w:val="20"/>
                <w:szCs w:val="20"/>
                <w:color w:val="auto"/>
              </w:rPr>
            </w:pPr>
            <w:r>
              <w:rPr>
                <w:rFonts w:ascii="Arial" w:cs="Arial" w:eastAsia="Arial" w:hAnsi="Arial"/>
                <w:sz w:val="14"/>
                <w:szCs w:val="14"/>
                <w:color w:val="auto"/>
              </w:rPr>
              <w:t>Year Paid</w:t>
            </w:r>
          </w:p>
        </w:tc>
      </w:tr>
      <w:tr>
        <w:trPr>
          <w:trHeight w:val="167"/>
        </w:trPr>
        <w:tc>
          <w:tcPr>
            <w:tcW w:w="6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and # Share Units</w:t>
            </w:r>
          </w:p>
        </w:tc>
        <w:tc>
          <w:tcPr>
            <w:tcW w:w="30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and Achievement</w:t>
            </w:r>
          </w:p>
        </w:tc>
        <w:tc>
          <w:tcPr>
            <w:tcW w:w="300" w:type="dxa"/>
            <w:vAlign w:val="bottom"/>
          </w:tcPr>
          <w:p>
            <w:pPr>
              <w:spacing w:after="0"/>
              <w:rPr>
                <w:sz w:val="14"/>
                <w:szCs w:val="14"/>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Payout %</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0"/>
              </w:rPr>
              <w:t>and # Share Units</w:t>
            </w:r>
          </w:p>
        </w:tc>
      </w:tr>
      <w:tr>
        <w:trPr>
          <w:trHeight w:val="195"/>
        </w:trPr>
        <w:tc>
          <w:tcPr>
            <w:tcW w:w="6980" w:type="dxa"/>
            <w:vAlign w:val="bottom"/>
            <w:gridSpan w:val="2"/>
          </w:tcPr>
          <w:p>
            <w:pPr>
              <w:spacing w:after="0" w:line="195" w:lineRule="exact"/>
              <w:rPr>
                <w:sz w:val="20"/>
                <w:szCs w:val="20"/>
                <w:color w:val="auto"/>
              </w:rPr>
            </w:pPr>
            <w:r>
              <w:rPr>
                <w:rFonts w:ascii="Arial" w:cs="Arial" w:eastAsia="Arial" w:hAnsi="Arial"/>
                <w:sz w:val="18"/>
                <w:szCs w:val="18"/>
                <w:color w:val="auto"/>
              </w:rPr>
              <w:t>FY05 2,500</w:t>
            </w:r>
          </w:p>
        </w:tc>
        <w:tc>
          <w:tcPr>
            <w:tcW w:w="300" w:type="dxa"/>
            <w:vAlign w:val="bottom"/>
          </w:tcPr>
          <w:p>
            <w:pPr>
              <w:spacing w:after="0"/>
              <w:rPr>
                <w:sz w:val="16"/>
                <w:szCs w:val="16"/>
                <w:color w:val="auto"/>
              </w:rPr>
            </w:pPr>
          </w:p>
        </w:tc>
        <w:tc>
          <w:tcPr>
            <w:tcW w:w="1580" w:type="dxa"/>
            <w:vAlign w:val="bottom"/>
          </w:tcPr>
          <w:p>
            <w:pPr>
              <w:jc w:val="center"/>
              <w:spacing w:after="0" w:line="195" w:lineRule="exact"/>
              <w:rPr>
                <w:sz w:val="20"/>
                <w:szCs w:val="20"/>
                <w:color w:val="auto"/>
              </w:rPr>
            </w:pPr>
            <w:r>
              <w:rPr>
                <w:rFonts w:ascii="Arial" w:cs="Arial" w:eastAsia="Arial" w:hAnsi="Arial"/>
                <w:sz w:val="18"/>
                <w:szCs w:val="18"/>
                <w:color w:val="auto"/>
                <w:w w:val="92"/>
              </w:rPr>
              <w:t>FY05 — FY07 Target</w:t>
            </w:r>
          </w:p>
        </w:tc>
        <w:tc>
          <w:tcPr>
            <w:tcW w:w="300" w:type="dxa"/>
            <w:vAlign w:val="bottom"/>
          </w:tcPr>
          <w:p>
            <w:pPr>
              <w:spacing w:after="0"/>
              <w:rPr>
                <w:sz w:val="16"/>
                <w:szCs w:val="16"/>
                <w:color w:val="auto"/>
              </w:rPr>
            </w:pPr>
          </w:p>
        </w:tc>
        <w:tc>
          <w:tcPr>
            <w:tcW w:w="80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100%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spacing w:after="0" w:line="195" w:lineRule="exact"/>
              <w:rPr>
                <w:sz w:val="20"/>
                <w:szCs w:val="20"/>
                <w:color w:val="auto"/>
              </w:rPr>
            </w:pPr>
            <w:r>
              <w:rPr>
                <w:rFonts w:ascii="Arial" w:cs="Arial" w:eastAsia="Arial" w:hAnsi="Arial"/>
                <w:sz w:val="18"/>
                <w:szCs w:val="18"/>
                <w:color w:val="auto"/>
              </w:rPr>
              <w:t>FY08 2,500</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FY06 2,500</w:t>
            </w:r>
          </w:p>
        </w:tc>
        <w:tc>
          <w:tcPr>
            <w:tcW w:w="1880" w:type="dxa"/>
            <w:vAlign w:val="bottom"/>
            <w:gridSpan w:val="2"/>
          </w:tcPr>
          <w:p>
            <w:pPr>
              <w:ind w:left="300"/>
              <w:spacing w:after="0"/>
              <w:rPr>
                <w:sz w:val="20"/>
                <w:szCs w:val="20"/>
                <w:color w:val="auto"/>
              </w:rPr>
            </w:pPr>
            <w:r>
              <w:rPr>
                <w:rFonts w:ascii="Arial" w:cs="Arial" w:eastAsia="Arial" w:hAnsi="Arial"/>
                <w:sz w:val="18"/>
                <w:szCs w:val="18"/>
                <w:color w:val="auto"/>
              </w:rPr>
              <w:t>Fy06 — FY08 70%</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3"/>
          </w:tcPr>
          <w:p>
            <w:pPr>
              <w:ind w:left="300"/>
              <w:spacing w:after="0"/>
              <w:rPr>
                <w:sz w:val="20"/>
                <w:szCs w:val="20"/>
                <w:color w:val="auto"/>
              </w:rPr>
            </w:pPr>
            <w:r>
              <w:rPr>
                <w:rFonts w:ascii="Arial" w:cs="Arial" w:eastAsia="Arial" w:hAnsi="Arial"/>
                <w:sz w:val="18"/>
                <w:szCs w:val="18"/>
                <w:color w:val="auto"/>
              </w:rPr>
              <w:t>FY09 1,875</w:t>
            </w:r>
          </w:p>
        </w:tc>
      </w:t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FY07 2,500</w:t>
            </w:r>
          </w:p>
        </w:tc>
        <w:tc>
          <w:tcPr>
            <w:tcW w:w="1880" w:type="dxa"/>
            <w:vAlign w:val="bottom"/>
            <w:gridSpan w:val="2"/>
          </w:tcPr>
          <w:p>
            <w:pPr>
              <w:ind w:left="300"/>
              <w:spacing w:after="0"/>
              <w:rPr>
                <w:sz w:val="20"/>
                <w:szCs w:val="20"/>
                <w:color w:val="auto"/>
              </w:rPr>
            </w:pPr>
            <w:r>
              <w:rPr>
                <w:rFonts w:ascii="Arial" w:cs="Arial" w:eastAsia="Arial" w:hAnsi="Arial"/>
                <w:sz w:val="18"/>
                <w:szCs w:val="18"/>
                <w:color w:val="auto"/>
                <w:w w:val="94"/>
              </w:rPr>
              <w:t>FY07 — FY09 110%</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gridSpan w:val="3"/>
          </w:tcPr>
          <w:p>
            <w:pPr>
              <w:ind w:left="300"/>
              <w:spacing w:after="0"/>
              <w:rPr>
                <w:sz w:val="20"/>
                <w:szCs w:val="20"/>
                <w:color w:val="auto"/>
              </w:rPr>
            </w:pPr>
            <w:r>
              <w:rPr>
                <w:rFonts w:ascii="Arial" w:cs="Arial" w:eastAsia="Arial" w:hAnsi="Arial"/>
                <w:sz w:val="18"/>
                <w:szCs w:val="18"/>
                <w:color w:val="auto"/>
              </w:rPr>
              <w:t>FY10 3,750</w:t>
            </w:r>
          </w:p>
        </w:tc>
      </w:tr>
      <w:tr>
        <w:trPr>
          <w:trHeight w:val="365"/>
        </w:trPr>
        <w:tc>
          <w:tcPr>
            <w:tcW w:w="6980" w:type="dxa"/>
            <w:vAlign w:val="bottom"/>
            <w:gridSpan w:val="2"/>
          </w:tcPr>
          <w:p>
            <w:pPr>
              <w:spacing w:after="0"/>
              <w:rPr>
                <w:sz w:val="20"/>
                <w:szCs w:val="20"/>
                <w:color w:val="auto"/>
              </w:rPr>
            </w:pPr>
            <w:r>
              <w:rPr>
                <w:rFonts w:ascii="Arial" w:cs="Arial" w:eastAsia="Arial" w:hAnsi="Arial"/>
                <w:sz w:val="14"/>
                <w:szCs w:val="14"/>
                <w:color w:val="auto"/>
              </w:rPr>
              <w:t>Total Share Units Granted</w:t>
            </w: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5"/>
          </w:tcPr>
          <w:p>
            <w:pPr>
              <w:jc w:val="right"/>
              <w:ind w:right="100"/>
              <w:spacing w:after="0"/>
              <w:rPr>
                <w:sz w:val="20"/>
                <w:szCs w:val="20"/>
                <w:color w:val="auto"/>
              </w:rPr>
            </w:pPr>
            <w:r>
              <w:rPr>
                <w:rFonts w:ascii="Arial" w:cs="Arial" w:eastAsia="Arial" w:hAnsi="Arial"/>
                <w:sz w:val="14"/>
                <w:szCs w:val="14"/>
                <w:color w:val="auto"/>
                <w:w w:val="95"/>
              </w:rPr>
              <w:t>Total Share Units Paid</w:t>
            </w:r>
          </w:p>
        </w:tc>
      </w:tr>
      <w:tr>
        <w:trPr>
          <w:trHeight w:val="224"/>
        </w:trPr>
        <w:tc>
          <w:tcPr>
            <w:tcW w:w="20" w:type="dxa"/>
            <w:vAlign w:val="bottom"/>
          </w:tcPr>
          <w:p>
            <w:pPr>
              <w:spacing w:after="0"/>
              <w:rPr>
                <w:sz w:val="19"/>
                <w:szCs w:val="19"/>
                <w:color w:val="auto"/>
              </w:rPr>
            </w:pPr>
          </w:p>
        </w:tc>
        <w:tc>
          <w:tcPr>
            <w:tcW w:w="6960" w:type="dxa"/>
            <w:vAlign w:val="bottom"/>
            <w:tcBorders>
              <w:top w:val="single" w:sz="8" w:color="auto"/>
            </w:tcBorders>
          </w:tcPr>
          <w:p>
            <w:pPr>
              <w:jc w:val="right"/>
              <w:ind w:right="6270"/>
              <w:spacing w:after="0"/>
              <w:rPr>
                <w:sz w:val="20"/>
                <w:szCs w:val="20"/>
                <w:color w:val="auto"/>
              </w:rPr>
            </w:pPr>
            <w:r>
              <w:rPr>
                <w:rFonts w:ascii="Arial" w:cs="Arial" w:eastAsia="Arial" w:hAnsi="Arial"/>
                <w:sz w:val="18"/>
                <w:szCs w:val="18"/>
                <w:color w:val="auto"/>
              </w:rPr>
              <w:t>7,500</w:t>
            </w:r>
          </w:p>
        </w:tc>
        <w:tc>
          <w:tcPr>
            <w:tcW w:w="3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8,125</w:t>
            </w:r>
          </w:p>
        </w:tc>
        <w:tc>
          <w:tcPr>
            <w:tcW w:w="100" w:type="dxa"/>
            <w:vAlign w:val="bottom"/>
          </w:tcPr>
          <w:p>
            <w:pPr>
              <w:spacing w:after="0"/>
              <w:rPr>
                <w:sz w:val="19"/>
                <w:szCs w:val="19"/>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VESTING/EXPIRATION</w:t>
      </w:r>
    </w:p>
    <w:p>
      <w:pPr>
        <w:spacing w:after="0" w:line="18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As shown below, all restricted performance share units granted for a particular award will vest at the end of the three-year performance period, subject to achieving at least a Threshold level of performance. This is sometimes referred to as “cliff” vesting since all share units vest at the same time.</w:t>
      </w:r>
    </w:p>
    <w:p>
      <w:pPr>
        <w:spacing w:after="0" w:line="9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If Threshold or better performance is achieved and shares are paid out, you will own those shares, so you will have voting rights and you will receive dividends.</w:t>
      </w:r>
    </w:p>
    <w:p>
      <w:pPr>
        <w:spacing w:after="0" w:line="13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If performance is below Threshold at the end of the three-year period, all share units for that award will be forfeited. As noted above, as participants receive awards over a period of years, they will have potential vesting on their other awards even if the award maturing in that fiscal year does not pay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62230</wp:posOffset>
            </wp:positionV>
            <wp:extent cx="5711190" cy="32670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11190" cy="326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47" w:name="page148"/>
    <w:bookmarkEnd w:id="147"/>
    <w:p>
      <w:pPr>
        <w:ind w:right="60"/>
        <w:spacing w:after="0" w:line="277" w:lineRule="auto"/>
        <w:rPr>
          <w:sz w:val="20"/>
          <w:szCs w:val="20"/>
          <w:color w:val="auto"/>
        </w:rPr>
      </w:pPr>
      <w:r>
        <w:rPr>
          <w:rFonts w:ascii="Arial" w:cs="Arial" w:eastAsia="Arial" w:hAnsi="Arial"/>
          <w:sz w:val="18"/>
          <w:szCs w:val="18"/>
          <w:color w:val="auto"/>
        </w:rPr>
        <w:t>If a participant leaves Polo Ralph Lauren (except as a result of retirement, disability, or death) before the three-year period is over, all rights to unvested share units are forfeited. (For details, please see chart on Page 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OF RESTRICTED PERFORMANCE SHARE UNITS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restricted performance share unit offers two opportunities to recognize value.</w:t>
      </w:r>
    </w:p>
    <w:p>
      <w:pPr>
        <w:spacing w:after="0" w:line="18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First, if Threshold or better performance is achieved you will receive a payout of actual shares. Unlike options, this type of award is not dependent on the share price going up to provide value.</w:t>
      </w:r>
    </w:p>
    <w:p>
      <w:pPr>
        <w:spacing w:after="0" w:line="14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second opportunity would result from an increase in the share price. The benefit to you is that you receive the same number of shares regardless of how much the stock price may have increased.</w:t>
      </w:r>
    </w:p>
    <w:p>
      <w:pPr>
        <w:spacing w:after="0" w:line="13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potential gain from restricted performance share units can be significant, as shown in the following example. In this example, we are not forecasting actual growth in the company’s stock price, but merely illustrating both the original award value and the potential for gains based on potential rates of stock price appreciation.</w:t>
      </w:r>
    </w:p>
    <w:p>
      <w:pPr>
        <w:spacing w:after="0" w:line="14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the example, the participant received a grant for 2,500 restricted performance share units. At a stock price of $30 when the grant was made, the award has a value at target of $75,000. Any increase in the stock price above the stock price at the grant date increases the value of the award as shown below.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SHARES</w:t>
      </w:r>
    </w:p>
    <w:p>
      <w:pPr>
        <w:spacing w:after="0" w:line="18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When shares acquired through payout of a restricted performance share unit award are sold at a later date, participants can benefit from any price appreciation that has occurred since the purchase date, similar to any other stock you own. Shares received from a performance share unit award payout may be sold at any time, except during those “Blackout” periods specified by the Company’s Securities Trading Policy (see Page10). Executive Officers, however, may sell shares only pursuant to SEC Rule 144 or another applicable exception under the Securities Act of 1933, as Amended.</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u w:val="single" w:color="auto"/>
          <w:color w:val="auto"/>
        </w:rPr>
        <w:t>Impact of Employment Termination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explains what happens if you leave Polo Ralph Lauren.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ON RESTRICTED PERFORMANCE SHARE UNIT AWARDS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Event</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540" w:type="dxa"/>
            <w:vAlign w:val="bottom"/>
            <w:tcBorders>
              <w:bottom w:val="single" w:sz="8" w:color="auto"/>
            </w:tcBorders>
          </w:tcPr>
          <w:p>
            <w:pPr>
              <w:ind w:left="2600"/>
              <w:spacing w:after="0"/>
              <w:rPr>
                <w:sz w:val="20"/>
                <w:szCs w:val="20"/>
                <w:color w:val="auto"/>
              </w:rPr>
            </w:pPr>
            <w:r>
              <w:rPr>
                <w:rFonts w:ascii="Arial" w:cs="Arial" w:eastAsia="Arial" w:hAnsi="Arial"/>
                <w:sz w:val="14"/>
                <w:szCs w:val="14"/>
                <w:b w:val="1"/>
                <w:bCs w:val="1"/>
                <w:color w:val="auto"/>
              </w:rPr>
              <w:t>Unvested Awards</w:t>
            </w:r>
          </w:p>
        </w:tc>
      </w:tr>
      <w:tr>
        <w:trPr>
          <w:trHeight w:val="195"/>
        </w:trPr>
        <w:tc>
          <w:tcPr>
            <w:tcW w:w="4400" w:type="dxa"/>
            <w:vAlign w:val="bottom"/>
          </w:tcPr>
          <w:p>
            <w:pPr>
              <w:spacing w:after="0" w:line="195" w:lineRule="exact"/>
              <w:rPr>
                <w:sz w:val="20"/>
                <w:szCs w:val="20"/>
                <w:color w:val="auto"/>
              </w:rPr>
            </w:pPr>
            <w:r>
              <w:rPr>
                <w:rFonts w:ascii="Arial" w:cs="Arial" w:eastAsia="Arial" w:hAnsi="Arial"/>
                <w:sz w:val="18"/>
                <w:szCs w:val="18"/>
                <w:color w:val="auto"/>
              </w:rPr>
              <w:t>Retirement Beginning at age 55,</w:t>
            </w:r>
          </w:p>
        </w:tc>
        <w:tc>
          <w:tcPr>
            <w:tcW w:w="220" w:type="dxa"/>
            <w:vAlign w:val="bottom"/>
          </w:tcPr>
          <w:p>
            <w:pPr>
              <w:spacing w:after="0"/>
              <w:rPr>
                <w:sz w:val="16"/>
                <w:szCs w:val="16"/>
                <w:color w:val="auto"/>
              </w:rPr>
            </w:pP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6540" w:type="dxa"/>
            <w:vAlign w:val="bottom"/>
          </w:tcPr>
          <w:p>
            <w:pPr>
              <w:ind w:left="200"/>
              <w:spacing w:after="0" w:line="195" w:lineRule="exact"/>
              <w:rPr>
                <w:sz w:val="20"/>
                <w:szCs w:val="20"/>
                <w:color w:val="auto"/>
              </w:rPr>
            </w:pPr>
            <w:r>
              <w:rPr>
                <w:rFonts w:ascii="Arial" w:cs="Arial" w:eastAsia="Arial" w:hAnsi="Arial"/>
                <w:sz w:val="18"/>
                <w:szCs w:val="18"/>
                <w:color w:val="auto"/>
                <w:w w:val="93"/>
              </w:rPr>
              <w:t>In the case of retirement, disability or death, a pro-rated target number of share units</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Disability or Death</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will be determined.</w:t>
            </w:r>
          </w:p>
        </w:tc>
      </w:tr>
      <w:tr>
        <w:trPr>
          <w:trHeight w:val="216"/>
        </w:trPr>
        <w:tc>
          <w:tcPr>
            <w:tcW w:w="44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540" w:type="dxa"/>
            <w:vAlign w:val="bottom"/>
          </w:tcPr>
          <w:p>
            <w:pPr>
              <w:ind w:left="200"/>
              <w:spacing w:after="0"/>
              <w:rPr>
                <w:sz w:val="20"/>
                <w:szCs w:val="20"/>
                <w:color w:val="auto"/>
              </w:rPr>
            </w:pPr>
            <w:r>
              <w:rPr>
                <w:rFonts w:ascii="Arial" w:cs="Arial" w:eastAsia="Arial" w:hAnsi="Arial"/>
                <w:sz w:val="18"/>
                <w:szCs w:val="18"/>
                <w:color w:val="auto"/>
                <w:w w:val="90"/>
              </w:rPr>
              <w:t>These pro-rated share units will vest at the end of the three-year period, and payout will</w:t>
            </w:r>
          </w:p>
        </w:tc>
      </w:tr>
      <w:tr>
        <w:trPr>
          <w:trHeight w:val="216"/>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w w:val="97"/>
              </w:rPr>
              <w:t>be based on the actual degree of achievement. If performance does not reach the</w:t>
            </w:r>
          </w:p>
        </w:tc>
      </w:tr>
      <w:tr>
        <w:trPr>
          <w:trHeight w:val="216"/>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Threshold level, then the pro-rated share units will be forfeited.</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Involuntary Termination (without cause)</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540" w:type="dxa"/>
            <w:vAlign w:val="bottom"/>
          </w:tcPr>
          <w:p>
            <w:pPr>
              <w:ind w:left="200"/>
              <w:spacing w:after="0"/>
              <w:rPr>
                <w:sz w:val="20"/>
                <w:szCs w:val="20"/>
                <w:color w:val="auto"/>
              </w:rPr>
            </w:pPr>
            <w:r>
              <w:rPr>
                <w:rFonts w:ascii="Arial" w:cs="Arial" w:eastAsia="Arial" w:hAnsi="Arial"/>
                <w:sz w:val="18"/>
                <w:szCs w:val="18"/>
                <w:color w:val="auto"/>
              </w:rPr>
              <w:t>All unvested share units are forfeited.</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Dismissal for Cause</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540" w:type="dxa"/>
            <w:vAlign w:val="bottom"/>
          </w:tcPr>
          <w:p>
            <w:pPr>
              <w:ind w:left="200"/>
              <w:spacing w:after="0"/>
              <w:rPr>
                <w:sz w:val="20"/>
                <w:szCs w:val="20"/>
                <w:color w:val="auto"/>
              </w:rPr>
            </w:pPr>
            <w:r>
              <w:rPr>
                <w:rFonts w:ascii="Arial" w:cs="Arial" w:eastAsia="Arial" w:hAnsi="Arial"/>
                <w:sz w:val="18"/>
                <w:szCs w:val="18"/>
                <w:color w:val="auto"/>
                <w:w w:val="93"/>
              </w:rPr>
              <w:t>All vested share units not yet paid are forfeited. All unvested share units are forfeited.</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Voluntary Resignation</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540" w:type="dxa"/>
            <w:vAlign w:val="bottom"/>
          </w:tcPr>
          <w:p>
            <w:pPr>
              <w:ind w:left="200"/>
              <w:spacing w:after="0"/>
              <w:rPr>
                <w:sz w:val="20"/>
                <w:szCs w:val="20"/>
                <w:color w:val="auto"/>
              </w:rPr>
            </w:pPr>
            <w:r>
              <w:rPr>
                <w:rFonts w:ascii="Arial" w:cs="Arial" w:eastAsia="Arial" w:hAnsi="Arial"/>
                <w:sz w:val="18"/>
                <w:szCs w:val="18"/>
                <w:color w:val="auto"/>
              </w:rPr>
              <w:t>All unvested share units are forfeited.</w:t>
            </w:r>
          </w:p>
        </w:tc>
      </w:tr>
    </w:tbl>
    <w:p>
      <w:pPr>
        <w:spacing w:after="0" w:line="1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If a participant has received any shares of Polo Ralph Lauren stock, as a result of payout of any Restricted Performance Share Unit award, the participant retains all rights to those shares.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u w:val="single" w:color="auto"/>
          <w:color w:val="auto"/>
        </w:rPr>
        <w:t>Tax Liability</w:t>
      </w:r>
    </w:p>
    <w:p>
      <w:pPr>
        <w:spacing w:after="0" w:line="20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i w:val="1"/>
          <w:iCs w:val="1"/>
          <w:color w:val="auto"/>
        </w:rPr>
        <w:t>The following statements regarding United States federal income tax consequences of the grant and vesting of Restricted Performance Share Unit awards under the Plan should be read in conjunction with the “Federal Income Tax Consequences” of the Memorandum to Participants in the Polo Ralph Lauren Corporation 1997 Long-Term Stock Incentive Plan and are not intended to be a complete summary of applicable law, nor do they address state, local or non-U.S. tax considerations. Moreover, the federal income tax consequences to any particular participant may differ from those described herein by reason of, among other things, the specific circumstances of such participant. For these reasons, participants are urged to consult their tax advisors with respect to the consequences of their participation in the Plan.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 GRANT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 United States federal income tax is owed at grant.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 VESTING</w:t>
      </w:r>
    </w:p>
    <w:p>
      <w:pPr>
        <w:spacing w:after="0" w:line="1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United States federal income tax is owed on the value of the share units, if any, received at payout. As previously indicated, the value at vesting is based on the number of share units earned times the share price on the payout date.</w:t>
      </w:r>
    </w:p>
    <w:p>
      <w:pPr>
        <w:spacing w:after="0" w:line="13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A percentage of the share units earned will be withheld to satisfy applicable federal, state, and local payroll and income tax withholding requirements. However, the amount withheld by Polo may be less than a participant’s actual federal, state or local income tax liabilities because the rate at which the participant’s income is taxed may exceed required withholding rates. Participants may wish to arrange for additional withholding or estimated tax payments.</w:t>
      </w:r>
    </w:p>
    <w:p>
      <w:pPr>
        <w:spacing w:after="0" w:line="12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value of the share units paid out is treated as ordinary income for U.S. federal tax liability. In the example above, the value of 2,500 share units at $30 per share is $75,000, so that amount will be subject to federal income taxes. In addition, the value will be subject to state and local taxes, as well as Federal Insurance Contributions Act (FICA) to the extent applicable.</w:t>
      </w:r>
    </w:p>
    <w:p>
      <w:pPr>
        <w:spacing w:after="0" w:line="14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Any value generated from the payout of a restricted performance share unit award must be reported as income to the Internal Revenue Service (IRS) and will therefore be included on the W-2 form received in January.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SALES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Please consult the Prospectus and your own tax advisor.</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u w:val="single" w:color="auto"/>
          <w:color w:val="auto"/>
        </w:rPr>
        <w:t>Other Administrative Issues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As provided in the Polo Ralph Lauren Employee Handbook, employees are prohibited by law from buying or selling stock if an employee has or is aware of any </w:t>
      </w:r>
      <w:r>
        <w:rPr>
          <w:rFonts w:ascii="Arial" w:cs="Arial" w:eastAsia="Arial" w:hAnsi="Arial"/>
          <w:sz w:val="18"/>
          <w:szCs w:val="18"/>
          <w:i w:val="1"/>
          <w:iCs w:val="1"/>
          <w:color w:val="auto"/>
        </w:rPr>
        <w:t>material, non-public information</w:t>
      </w:r>
      <w:r>
        <w:rPr>
          <w:rFonts w:ascii="Arial" w:cs="Arial" w:eastAsia="Arial" w:hAnsi="Arial"/>
          <w:sz w:val="18"/>
          <w:szCs w:val="18"/>
          <w:color w:val="auto"/>
        </w:rPr>
        <w:t xml:space="preserve"> about Polo Ralph Lauren. This is commonly referred to as “insider information.” Material, non-public information is any information that has not been disclosed to the public that could affect the price of RL stock — either positively or negatively — or affect a person’s decision to buy, hold or sell stock.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Examples of what might be considered “insider information” include but are not limited to the following:</w:t>
      </w:r>
    </w:p>
    <w:p>
      <w:pPr>
        <w:spacing w:after="0" w:line="225"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b w:val="1"/>
          <w:bCs w:val="1"/>
          <w:color w:val="auto"/>
        </w:rPr>
      </w:pPr>
      <w:r>
        <w:rPr>
          <w:rFonts w:ascii="Arial" w:cs="Arial" w:eastAsia="Arial" w:hAnsi="Arial"/>
          <w:sz w:val="18"/>
          <w:szCs w:val="18"/>
          <w:color w:val="auto"/>
        </w:rPr>
        <w:t>Earnings or other financial information;</w:t>
      </w:r>
    </w:p>
    <w:p>
      <w:pPr>
        <w:spacing w:after="0" w:line="2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13"/>
        </w:numPr>
        <w:rPr>
          <w:rFonts w:ascii="Arial" w:cs="Arial" w:eastAsia="Arial" w:hAnsi="Arial"/>
          <w:sz w:val="18"/>
          <w:szCs w:val="18"/>
          <w:b w:val="1"/>
          <w:bCs w:val="1"/>
          <w:color w:val="auto"/>
        </w:rPr>
      </w:pPr>
      <w:r>
        <w:rPr>
          <w:rFonts w:ascii="Arial" w:cs="Arial" w:eastAsia="Arial" w:hAnsi="Arial"/>
          <w:sz w:val="18"/>
          <w:szCs w:val="18"/>
          <w:color w:val="auto"/>
        </w:rPr>
        <w:t>Changes in dividend policy;</w:t>
      </w:r>
    </w:p>
    <w:p>
      <w:pPr>
        <w:spacing w:after="0" w:line="2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13"/>
        </w:numPr>
        <w:rPr>
          <w:rFonts w:ascii="Arial" w:cs="Arial" w:eastAsia="Arial" w:hAnsi="Arial"/>
          <w:sz w:val="18"/>
          <w:szCs w:val="18"/>
          <w:b w:val="1"/>
          <w:bCs w:val="1"/>
          <w:color w:val="auto"/>
        </w:rPr>
      </w:pPr>
      <w:r>
        <w:rPr>
          <w:rFonts w:ascii="Arial" w:cs="Arial" w:eastAsia="Arial" w:hAnsi="Arial"/>
          <w:sz w:val="18"/>
          <w:szCs w:val="18"/>
          <w:color w:val="auto"/>
        </w:rPr>
        <w:t>Stock splits;</w:t>
      </w:r>
    </w:p>
    <w:p>
      <w:pPr>
        <w:spacing w:after="0" w:line="2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13"/>
        </w:numPr>
        <w:rPr>
          <w:rFonts w:ascii="Arial" w:cs="Arial" w:eastAsia="Arial" w:hAnsi="Arial"/>
          <w:sz w:val="18"/>
          <w:szCs w:val="18"/>
          <w:b w:val="1"/>
          <w:bCs w:val="1"/>
          <w:color w:val="auto"/>
        </w:rPr>
      </w:pPr>
      <w:r>
        <w:rPr>
          <w:rFonts w:ascii="Arial" w:cs="Arial" w:eastAsia="Arial" w:hAnsi="Arial"/>
          <w:sz w:val="18"/>
          <w:szCs w:val="18"/>
          <w:color w:val="auto"/>
        </w:rPr>
        <w:t>Mergers and acquisitions;</w:t>
      </w:r>
    </w:p>
    <w:p>
      <w:pPr>
        <w:spacing w:after="0" w:line="2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13"/>
        </w:numPr>
        <w:rPr>
          <w:rFonts w:ascii="Arial" w:cs="Arial" w:eastAsia="Arial" w:hAnsi="Arial"/>
          <w:sz w:val="18"/>
          <w:szCs w:val="18"/>
          <w:b w:val="1"/>
          <w:bCs w:val="1"/>
          <w:color w:val="auto"/>
        </w:rPr>
      </w:pPr>
      <w:r>
        <w:rPr>
          <w:rFonts w:ascii="Arial" w:cs="Arial" w:eastAsia="Arial" w:hAnsi="Arial"/>
          <w:sz w:val="18"/>
          <w:szCs w:val="18"/>
          <w:color w:val="auto"/>
        </w:rPr>
        <w:t>Major new contracts or product-line introductions;</w:t>
      </w:r>
    </w:p>
    <w:p>
      <w:pPr>
        <w:spacing w:after="0" w:line="2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13"/>
        </w:numPr>
        <w:rPr>
          <w:rFonts w:ascii="Arial" w:cs="Arial" w:eastAsia="Arial" w:hAnsi="Arial"/>
          <w:sz w:val="18"/>
          <w:szCs w:val="18"/>
          <w:b w:val="1"/>
          <w:bCs w:val="1"/>
          <w:color w:val="auto"/>
        </w:rPr>
      </w:pPr>
      <w:r>
        <w:rPr>
          <w:rFonts w:ascii="Arial" w:cs="Arial" w:eastAsia="Arial" w:hAnsi="Arial"/>
          <w:sz w:val="18"/>
          <w:szCs w:val="18"/>
          <w:color w:val="auto"/>
        </w:rPr>
        <w:t>Litigation involving substantial amounts of money; or</w:t>
      </w:r>
    </w:p>
    <w:p>
      <w:pPr>
        <w:spacing w:after="0" w:line="2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13"/>
        </w:numPr>
        <w:rPr>
          <w:rFonts w:ascii="Arial" w:cs="Arial" w:eastAsia="Arial" w:hAnsi="Arial"/>
          <w:sz w:val="18"/>
          <w:szCs w:val="18"/>
          <w:b w:val="1"/>
          <w:bCs w:val="1"/>
          <w:color w:val="auto"/>
        </w:rPr>
      </w:pPr>
      <w:r>
        <w:rPr>
          <w:rFonts w:ascii="Arial" w:cs="Arial" w:eastAsia="Arial" w:hAnsi="Arial"/>
          <w:sz w:val="18"/>
          <w:szCs w:val="18"/>
          <w:color w:val="auto"/>
        </w:rPr>
        <w:t>Changes in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These insider-trading rules are applicable to employees of Polo Ralph Lauren and its related companies worldwide.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BLACKOUT PERIODS</w:t>
      </w:r>
    </w:p>
    <w:p>
      <w:pPr>
        <w:spacing w:after="0" w:line="18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To avoid even the appearance of “insider trading,” our Company’s policy prohibits members of the Board of Directors and all employees from making trades involving stock of the Company during certain “blackout periods.” This prohibition covers buying or selling shares. These blackout periods generally begin two weeks before the end of each of our fiscal quarters and continue through one trading day after the Company issues its earnings release for the fiscal quarter or year just ended. If the earnings release is issued before the opening of the market on a trading day, trading may begin the next day. The “blackout periods” are announced at the start of each year. In addition, the Board of Directors, officers, and employees in the Finance and Legal departments must clear all trades with the Corporate Counsel, whether they occur within a blackout period or not.</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ADDITIONAL PROHIBITED TRANSACTIONS</w:t>
      </w:r>
    </w:p>
    <w:p>
      <w:pPr>
        <w:spacing w:after="0" w:line="202"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Because we believe it is inappropriate for any Company personnel to engage in short-term or speculative transactions involving the Company’s common stock, it is Company policy that employees do not engage in any of the following activities with respect to the securities of the Company:</w:t>
      </w:r>
    </w:p>
    <w:p>
      <w:pPr>
        <w:spacing w:after="0" w:line="143" w:lineRule="exact"/>
        <w:rPr>
          <w:sz w:val="20"/>
          <w:szCs w:val="20"/>
          <w:color w:val="auto"/>
        </w:rPr>
      </w:pPr>
    </w:p>
    <w:p>
      <w:pPr>
        <w:ind w:left="460" w:right="120" w:hanging="452"/>
        <w:spacing w:after="0" w:line="258" w:lineRule="auto"/>
        <w:tabs>
          <w:tab w:leader="none" w:pos="4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 and out” trading in securities of the Company. </w:t>
      </w:r>
      <w:r>
        <w:rPr>
          <w:rFonts w:ascii="Arial" w:cs="Arial" w:eastAsia="Arial" w:hAnsi="Arial"/>
          <w:sz w:val="18"/>
          <w:szCs w:val="18"/>
          <w:color w:val="auto"/>
        </w:rPr>
        <w:t>Any Company stock purchased in the market must be held for a minimum of six months, and</w:t>
      </w:r>
      <w:r>
        <w:rPr>
          <w:rFonts w:ascii="Arial" w:cs="Arial" w:eastAsia="Arial" w:hAnsi="Arial"/>
          <w:sz w:val="18"/>
          <w:szCs w:val="18"/>
          <w:b w:val="1"/>
          <w:bCs w:val="1"/>
          <w:color w:val="auto"/>
        </w:rPr>
        <w:t xml:space="preserve"> </w:t>
      </w:r>
      <w:r>
        <w:rPr>
          <w:rFonts w:ascii="Arial" w:cs="Arial" w:eastAsia="Arial" w:hAnsi="Arial"/>
          <w:sz w:val="18"/>
          <w:szCs w:val="18"/>
          <w:color w:val="auto"/>
        </w:rPr>
        <w:t>ideally longer. (Note that the Securities and Exchange Commission (SEC) has a “short-swing profit recapture” rule that effectively prohibits Executive Officers and members of the Board of Directors from selling any Company stock within six months of a purchase. The Company has extended this prohibition to all employees. (The receipt of shares pursuant to the vesting of Restricted Performance Share Unit awards is not considered a purchase under the SEC’s rule.)</w:t>
      </w:r>
    </w:p>
    <w:p>
      <w:pPr>
        <w:spacing w:after="0" w:line="183" w:lineRule="exact"/>
        <w:rPr>
          <w:rFonts w:ascii="Arial" w:cs="Arial" w:eastAsia="Arial" w:hAnsi="Arial"/>
          <w:sz w:val="18"/>
          <w:szCs w:val="18"/>
          <w:b w:val="1"/>
          <w:bCs w:val="1"/>
          <w:color w:val="auto"/>
        </w:rPr>
      </w:pPr>
    </w:p>
    <w:p>
      <w:pPr>
        <w:ind w:left="460" w:hanging="452"/>
        <w:spacing w:after="0"/>
        <w:tabs>
          <w:tab w:leader="none" w:pos="4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Short sales </w:t>
      </w:r>
      <w:r>
        <w:rPr>
          <w:rFonts w:ascii="Arial" w:cs="Arial" w:eastAsia="Arial" w:hAnsi="Arial"/>
          <w:sz w:val="18"/>
          <w:szCs w:val="18"/>
          <w:color w:val="auto"/>
        </w:rPr>
        <w:t>(i.e., selling stock one does not own and then borrowing the shares to make delivery.)</w:t>
      </w:r>
    </w:p>
    <w:p>
      <w:pPr>
        <w:spacing w:after="0" w:line="2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Buying or selling “puts” or “calls” </w:t>
      </w:r>
      <w:r>
        <w:rPr>
          <w:rFonts w:ascii="Arial" w:cs="Arial" w:eastAsia="Arial" w:hAnsi="Arial"/>
          <w:sz w:val="18"/>
          <w:szCs w:val="18"/>
          <w:color w:val="auto"/>
        </w:rPr>
        <w:t>(i.e., making commitments to buy or sell securities at a specified price for a fixed period of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CLEARANCE OF ALL TRADES BY DIRECTORS, OFFICERS AND OTHER KEY PERSONNEL</w:t>
      </w:r>
    </w:p>
    <w:p>
      <w:pPr>
        <w:spacing w:after="0" w:line="185" w:lineRule="exact"/>
        <w:rPr>
          <w:sz w:val="20"/>
          <w:szCs w:val="20"/>
          <w:color w:val="auto"/>
        </w:rPr>
      </w:pPr>
    </w:p>
    <w:p>
      <w:pPr>
        <w:jc w:val="both"/>
        <w:ind w:right="320"/>
        <w:spacing w:after="0" w:line="289" w:lineRule="auto"/>
        <w:rPr>
          <w:sz w:val="20"/>
          <w:szCs w:val="20"/>
          <w:color w:val="auto"/>
        </w:rPr>
      </w:pPr>
      <w:r>
        <w:rPr>
          <w:rFonts w:ascii="Arial" w:cs="Arial" w:eastAsia="Arial" w:hAnsi="Arial"/>
          <w:sz w:val="17"/>
          <w:szCs w:val="17"/>
          <w:b w:val="1"/>
          <w:bCs w:val="1"/>
          <w:color w:val="auto"/>
        </w:rPr>
        <w:t xml:space="preserve">All transactions in Company stock (purchases, sales, transfers, etc.) by members of the Board of Directors, officers, and personnel in the Finance and Legal departments must be cleared by the Corporate Counsel. If you contemplate a transaction, you must contact the Corporate Counsel at (212) 705-8280 </w:t>
      </w:r>
      <w:r>
        <w:rPr>
          <w:rFonts w:ascii="Arial" w:cs="Arial" w:eastAsia="Arial" w:hAnsi="Arial"/>
          <w:sz w:val="17"/>
          <w:szCs w:val="17"/>
          <w:b w:val="1"/>
          <w:bCs w:val="1"/>
          <w:u w:val="single" w:color="auto"/>
          <w:color w:val="auto"/>
        </w:rPr>
        <w:t>before</w:t>
      </w:r>
      <w:r>
        <w:rPr>
          <w:rFonts w:ascii="Arial" w:cs="Arial" w:eastAsia="Arial" w:hAnsi="Arial"/>
          <w:sz w:val="17"/>
          <w:szCs w:val="17"/>
          <w:b w:val="1"/>
          <w:bCs w:val="1"/>
          <w:color w:val="auto"/>
        </w:rPr>
        <w:t xml:space="preserve"> contacting Merrill Lynch or taking any other step to initiate a transaction.</w:t>
      </w:r>
    </w:p>
    <w:p>
      <w:pPr>
        <w:spacing w:after="0" w:line="12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 xml:space="preserve">In the event of any discrepancy between the terms of the Plan and this Restricted Performance Share Unit Award Overview, the terms of the Plan will govern. A copy of the official Polo Ralph Lauren Corporation 1997 Long-Term Stock Incentive Plan is available from your Human Resources department or you may log on to the Intranet at </w:t>
      </w:r>
      <w:r>
        <w:rPr>
          <w:rFonts w:ascii="Arial" w:cs="Arial" w:eastAsia="Arial" w:hAnsi="Arial"/>
          <w:sz w:val="18"/>
          <w:szCs w:val="18"/>
          <w:b w:val="1"/>
          <w:bCs w:val="1"/>
          <w:i w:val="1"/>
          <w:iCs w:val="1"/>
          <w:u w:val="single" w:color="auto"/>
          <w:color w:val="auto"/>
        </w:rPr>
        <w:t>http://poloweb/HRWeb/Benefits</w:t>
      </w:r>
      <w:r>
        <w:rPr>
          <w:rFonts w:ascii="Arial" w:cs="Arial" w:eastAsia="Arial" w:hAnsi="Arial"/>
          <w:sz w:val="18"/>
          <w:szCs w:val="18"/>
          <w:b w:val="1"/>
          <w:bCs w:val="1"/>
          <w:color w:val="auto"/>
        </w:rPr>
        <w:t>.</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931"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color w:val="auto"/>
        </w:rPr>
        <w:t>EXHIBIT 10.26</w:t>
      </w:r>
    </w:p>
    <w:p>
      <w:pPr>
        <w:spacing w:after="0" w:line="194" w:lineRule="exact"/>
        <w:rPr>
          <w:sz w:val="20"/>
          <w:szCs w:val="20"/>
          <w:color w:val="auto"/>
        </w:rPr>
      </w:pPr>
    </w:p>
    <w:p>
      <w:pPr>
        <w:jc w:val="center"/>
        <w:ind w:left="260" w:right="2640"/>
        <w:spacing w:after="0" w:line="266" w:lineRule="auto"/>
        <w:rPr>
          <w:sz w:val="20"/>
          <w:szCs w:val="20"/>
          <w:color w:val="auto"/>
        </w:rPr>
      </w:pPr>
      <w:r>
        <w:rPr>
          <w:rFonts w:ascii="Arial" w:cs="Arial" w:eastAsia="Arial" w:hAnsi="Arial"/>
          <w:sz w:val="18"/>
          <w:szCs w:val="18"/>
          <w:b w:val="1"/>
          <w:bCs w:val="1"/>
          <w:color w:val="auto"/>
        </w:rPr>
        <w:t>THIS DOCUMENT CONSTITUTES PART OF A PROSPECTUS COVERING SECURITIES THAT HAVE BEEN REGISTERED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277620" cy="3086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762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Award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 United States</w:t>
      </w:r>
    </w:p>
    <w:p>
      <w:pPr>
        <w:spacing w:after="0" w:line="170" w:lineRule="exact"/>
        <w:rPr>
          <w:sz w:val="20"/>
          <w:szCs w:val="20"/>
          <w:color w:val="auto"/>
        </w:rPr>
      </w:pPr>
    </w:p>
    <w:p>
      <w:pPr>
        <w:ind w:left="10680"/>
        <w:spacing w:after="0"/>
        <w:rPr>
          <w:sz w:val="20"/>
          <w:szCs w:val="20"/>
          <w:color w:val="auto"/>
        </w:rPr>
      </w:pPr>
      <w:r>
        <w:rPr>
          <w:rFonts w:ascii="Arial" w:cs="Arial" w:eastAsia="Arial" w:hAnsi="Arial"/>
          <w:sz w:val="15"/>
          <w:szCs w:val="15"/>
          <w:i w:val="1"/>
          <w:iCs w:val="1"/>
          <w:color w:val="auto"/>
        </w:rPr>
        <w:t>June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583565</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u w:val="single" w:color="auto"/>
          <w:color w:val="auto"/>
        </w:rPr>
        <w:t>Highlights of the Award</w:t>
      </w:r>
    </w:p>
    <w:p>
      <w:pPr>
        <w:spacing w:after="0" w:line="202"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i w:val="1"/>
          <w:iCs w:val="1"/>
          <w:color w:val="auto"/>
        </w:rPr>
        <w:t xml:space="preserve">This Overview is qualified in its entirety by reference to the accompanying Memorandum to Participants in the Polo Ralph Lauren 1997 Long-Term Stock Incentive Plan and to the Plan itself. Copies of the Memorandum and the Plan are available from your Human Resources Department or by logging on to the Intranet at </w:t>
      </w:r>
      <w:r>
        <w:rPr>
          <w:rFonts w:ascii="Arial" w:cs="Arial" w:eastAsia="Arial" w:hAnsi="Arial"/>
          <w:sz w:val="18"/>
          <w:szCs w:val="18"/>
          <w:i w:val="1"/>
          <w:iCs w:val="1"/>
          <w:u w:val="single" w:color="auto"/>
          <w:color w:val="auto"/>
        </w:rPr>
        <w:t>http://poloweb/HRWeb/Benefits</w:t>
      </w:r>
      <w:r>
        <w:rPr>
          <w:rFonts w:ascii="Arial" w:cs="Arial" w:eastAsia="Arial" w:hAnsi="Arial"/>
          <w:sz w:val="18"/>
          <w:szCs w:val="18"/>
          <w:b w:val="1"/>
          <w:bCs w:val="1"/>
          <w:i w:val="1"/>
          <w:iCs w:val="1"/>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June 9, 1997, the Board of Directors adopted the Polo Ralph Lauren Corporation 1997 Long-Term Stock Incentive Plan (as amended and restated, “the Plan”), which authorizes the granting of equity awards to officers and other employees and third party service providers of the Company and its subsidiaries by the Compensation Committee of the Board of Directors.</w:t>
      </w:r>
    </w:p>
    <w:p>
      <w:pPr>
        <w:spacing w:after="0" w:line="15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stock option granted under the Plan provides a participant the right to purchase, within a specified period of time, a stated number of shares of Polo Ralph Lauren stock (traded on the New York Stock Exchange: RL) at a fixed price (the option price). The option price equals the fair market value (the average of the high and the low price) of a share of Polo Ralph Lauren common stock on the grant date. Stock options increase in value when the price of Polo Ralph Lauren’s stock moves above the option price.</w:t>
      </w:r>
    </w:p>
    <w:p>
      <w:pPr>
        <w:spacing w:after="0" w:line="14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Stock option grants reward individuals who make important leadership contributions to the company’s success. Along with Polo Ralph Lauren’s other compensation elements, stock options create a highly competitive and attractive total compensation package.</w:t>
      </w:r>
    </w:p>
    <w:p>
      <w:pPr>
        <w:spacing w:after="0" w:line="13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Overview explains the Stock Option program, its benefits to you as a participant and outlines the various steps you need to take in regards to managing your stock option grant.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intent of the stock option program is to provide awards that:</w:t>
      </w:r>
    </w:p>
    <w:p>
      <w:pPr>
        <w:spacing w:after="0" w:line="225"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Attract and retain individuals of superior talent.</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Motivate key contributors to continuously improve the Company’s performance which should ultimately result in increased shareholder value.</w:t>
      </w:r>
    </w:p>
    <w:p>
      <w:pPr>
        <w:spacing w:after="0" w:line="236" w:lineRule="exact"/>
        <w:rPr>
          <w:rFonts w:ascii="Arial" w:cs="Arial" w:eastAsia="Arial" w:hAnsi="Arial"/>
          <w:sz w:val="17"/>
          <w:szCs w:val="17"/>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Enable individuals to participate in the long-term growth and financial success of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ADMINISTRATION</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154" w:name="page155"/>
    <w:bookmarkEnd w:id="154"/>
    <w:p>
      <w:pPr>
        <w:ind w:right="100"/>
        <w:spacing w:after="0" w:line="277" w:lineRule="auto"/>
        <w:rPr>
          <w:sz w:val="20"/>
          <w:szCs w:val="20"/>
          <w:color w:val="auto"/>
        </w:rPr>
      </w:pPr>
      <w:r>
        <w:rPr>
          <w:rFonts w:ascii="Arial" w:cs="Arial" w:eastAsia="Arial" w:hAnsi="Arial"/>
          <w:sz w:val="18"/>
          <w:szCs w:val="18"/>
          <w:color w:val="auto"/>
        </w:rPr>
        <w:t>Polo Ralph Lauren’s Human Resources Department administers the stock option program. Stock option exercise transactions and record keeping services are performed by Merrill Lynch.</w:t>
      </w:r>
    </w:p>
    <w:p>
      <w:pPr>
        <w:spacing w:after="0" w:line="14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Company’s Board of Directors reserves the right to amend, modify, or terminate the plan at any time. No such amendment to the Plan would adversely affect any stock options then outstanding.</w:t>
      </w:r>
    </w:p>
    <w:p>
      <w:pPr>
        <w:spacing w:after="0" w:line="130" w:lineRule="exact"/>
        <w:rPr>
          <w:sz w:val="20"/>
          <w:szCs w:val="20"/>
          <w:color w:val="auto"/>
        </w:rPr>
      </w:pPr>
    </w:p>
    <w:p>
      <w:pPr>
        <w:ind w:right="660"/>
        <w:spacing w:after="0" w:line="461" w:lineRule="auto"/>
        <w:rPr>
          <w:sz w:val="20"/>
          <w:szCs w:val="20"/>
          <w:color w:val="auto"/>
        </w:rPr>
      </w:pPr>
      <w:r>
        <w:rPr>
          <w:rFonts w:ascii="Arial" w:cs="Arial" w:eastAsia="Arial" w:hAnsi="Arial"/>
          <w:sz w:val="18"/>
          <w:szCs w:val="18"/>
          <w:color w:val="auto"/>
        </w:rPr>
        <w:t xml:space="preserve">If you have any questions regarding this overview please consult the Memorandum to Participants or contact your local Human Resources generalist. </w:t>
      </w:r>
      <w:r>
        <w:rPr>
          <w:rFonts w:ascii="Arial" w:cs="Arial" w:eastAsia="Arial" w:hAnsi="Arial"/>
          <w:sz w:val="18"/>
          <w:szCs w:val="18"/>
          <w:b w:val="1"/>
          <w:bCs w:val="1"/>
          <w:color w:val="auto"/>
        </w:rPr>
        <w:t>ELIGIBILITY FOR GRANT</w:t>
      </w:r>
    </w:p>
    <w:p>
      <w:pPr>
        <w:spacing w:after="0" w:line="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Polo Ralph Lauren stock option program awards stock option grants to key contributors who have a direct impact on the strategic direction and business results of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Each year, participants are notified of their eligibility to participate in the stock option program and to receive a stock option award for that fiscal year.</w:t>
      </w:r>
    </w:p>
    <w:p>
      <w:pPr>
        <w:spacing w:after="0" w:line="196"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Guidelines are established for the number of shares eligible participants may receive. These guidelines are based on current position levels and reflect competitive opportunities which are determined by a position’s scope, accountability and direct impact on the organization.</w:t>
      </w:r>
    </w:p>
    <w:p>
      <w:pPr>
        <w:spacing w:after="0" w:line="12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u w:val="single" w:color="auto"/>
          <w:color w:val="auto"/>
        </w:rPr>
        <w:t>Please note that these guidelines do not constitute a guarantee that any specific individual will receive a grant in any given year or guarantee a specific number of shares if a grant is awarded.</w:t>
      </w:r>
    </w:p>
    <w:p>
      <w:pPr>
        <w:spacing w:after="0" w:line="13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Polo Ralph Lauren employee who receives an Improvement Needed (I) or Unsatisfactory (U) rating on his/her annual performance evaluation is not eligible to participate in the stock option program for that fiscal year.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PRICE</w:t>
      </w:r>
    </w:p>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option price, which is determined on the date of grant, is stated in the grant notification letter. Though the stock price may fluctuate over the term of the option, participants retain the right to purchase the stock at the option price once the stock options become vested.</w:t>
      </w:r>
    </w:p>
    <w:p>
      <w:pPr>
        <w:spacing w:after="0" w:line="13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stock option is not the same as owning actual shares of stock. Stock option holders do not have the right to participate in shareholder voting or the right to receive dividends. However, these rights do apply to individuals who own actual shares of Polo Ralph Lauren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PERIOD</w:t>
      </w:r>
    </w:p>
    <w:p>
      <w:pPr>
        <w:spacing w:after="0" w:line="20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vesting period for your options is three years starting from the grant date. Stock options vest in equal installments over the three year period. Stock options are 100% vested three years from</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the initial grant date. As stock options vest, participants may exercise any portion of the vested stock option award.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shown below, one-third of the stock options in any annual grant vest on the anniversary of the initial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126365</wp:posOffset>
            </wp:positionV>
            <wp:extent cx="6517640" cy="3310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517640" cy="331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Although participants have the right to exercise stock options once they have vested, they may choose to hold them in anticipation of future gains from an increase in the stock’s price. If a participant leaves Polo Ralph Lauren (except as a result of retirement, disability, or death) before the stock options have fully vested, all rights to unvested options are forfeited. (For further details on the impact of termination, please see the chart on Page 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expiration date of any vested stock options may be accelerated. (See chart on Page 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OF OPTIONS</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Options that have not been exercised by the end of the option period expire. All stock options in a grant must be exercised within ten years of the initial grant date.</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VALUE OF STOCK OPTIONS</w:t>
      </w:r>
    </w:p>
    <w:p>
      <w:pPr>
        <w:spacing w:after="0" w:line="202"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As mentioned earlier, stock options increase in value when the market price of Polo Ralph Lauren common stock rises above the option grant price. When this occurs, participants can exercise their vested stock options by buying stock at a price below the market price. The difference between the market price and the option price is considered the gain received from the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98425</wp:posOffset>
            </wp:positionV>
            <wp:extent cx="4648200" cy="36620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648200" cy="366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potential gain from stock options can be significant, as shown in the example above. This example is not a forecast of actual growth in Polo Ralph Lauren’s stock, but merely an illustration showing potential gains based on potential rates of stock price appreciation.</w:t>
      </w:r>
    </w:p>
    <w:p>
      <w:pPr>
        <w:spacing w:after="0" w:line="14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Example: the participant has 1,000 stock options at a $30 option price. The </w:t>
      </w:r>
      <w:r>
        <w:rPr>
          <w:rFonts w:ascii="Arial" w:cs="Arial" w:eastAsia="Arial" w:hAnsi="Arial"/>
          <w:sz w:val="18"/>
          <w:szCs w:val="18"/>
          <w:i w:val="1"/>
          <w:iCs w:val="1"/>
          <w:color w:val="auto"/>
        </w:rPr>
        <w:t>gain per share</w:t>
      </w:r>
      <w:r>
        <w:rPr>
          <w:rFonts w:ascii="Arial" w:cs="Arial" w:eastAsia="Arial" w:hAnsi="Arial"/>
          <w:sz w:val="18"/>
          <w:szCs w:val="18"/>
          <w:color w:val="auto"/>
        </w:rPr>
        <w:t xml:space="preserve"> is calculated by subtracting the option price from the stock trading price (i.e., $30 – $30 = $0, $40 – $30 = $10 per share, etc.) The </w:t>
      </w:r>
      <w:r>
        <w:rPr>
          <w:rFonts w:ascii="Arial" w:cs="Arial" w:eastAsia="Arial" w:hAnsi="Arial"/>
          <w:sz w:val="18"/>
          <w:szCs w:val="18"/>
          <w:i w:val="1"/>
          <w:iCs w:val="1"/>
          <w:color w:val="auto"/>
        </w:rPr>
        <w:t>total gain</w:t>
      </w:r>
      <w:r>
        <w:rPr>
          <w:rFonts w:ascii="Arial" w:cs="Arial" w:eastAsia="Arial" w:hAnsi="Arial"/>
          <w:sz w:val="18"/>
          <w:szCs w:val="18"/>
          <w:color w:val="auto"/>
        </w:rPr>
        <w:t xml:space="preserve"> is calculated by multiplying the gain per share by the number of stock options (1,000).</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POTENTIAL STOCK OPTION GAINS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 Options/$30 Option Price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7"/>
          </w:tcPr>
          <w:p>
            <w:pPr>
              <w:ind w:left="380"/>
              <w:spacing w:after="0"/>
              <w:rPr>
                <w:sz w:val="20"/>
                <w:szCs w:val="20"/>
                <w:color w:val="auto"/>
              </w:rPr>
            </w:pPr>
            <w:r>
              <w:rPr>
                <w:rFonts w:ascii="Arial" w:cs="Arial" w:eastAsia="Arial" w:hAnsi="Arial"/>
                <w:sz w:val="14"/>
                <w:szCs w:val="14"/>
                <w:b w:val="1"/>
                <w:bCs w:val="1"/>
                <w:color w:val="auto"/>
              </w:rPr>
              <w:t>If Future Stock Price Reaches: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20" w:type="dxa"/>
            <w:vAlign w:val="bottom"/>
            <w:vMerge w:val="restart"/>
          </w:tcPr>
          <w:p>
            <w:pPr>
              <w:spacing w:after="0"/>
              <w:rPr>
                <w:sz w:val="20"/>
                <w:szCs w:val="20"/>
                <w:color w:val="auto"/>
              </w:rPr>
            </w:pPr>
            <w:r>
              <w:rPr>
                <w:rFonts w:ascii="Arial" w:cs="Arial" w:eastAsia="Arial" w:hAnsi="Arial"/>
                <w:sz w:val="18"/>
                <w:szCs w:val="18"/>
                <w:color w:val="auto"/>
              </w:rPr>
              <w:t>Gain per Share</w:t>
            </w: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$30</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$40</w:t>
            </w: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$50</w:t>
            </w: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20" w:type="dxa"/>
            <w:vAlign w:val="bottom"/>
          </w:tcPr>
          <w:p>
            <w:pPr>
              <w:spacing w:after="0"/>
              <w:rPr>
                <w:sz w:val="20"/>
                <w:szCs w:val="20"/>
                <w:color w:val="auto"/>
              </w:rPr>
            </w:pPr>
            <w:r>
              <w:rPr>
                <w:rFonts w:ascii="Arial" w:cs="Arial" w:eastAsia="Arial" w:hAnsi="Arial"/>
                <w:sz w:val="18"/>
                <w:szCs w:val="18"/>
                <w:color w:val="auto"/>
              </w:rPr>
              <w:t>Total gain</w:t>
            </w:r>
          </w:p>
        </w:tc>
        <w:tc>
          <w:tcPr>
            <w:tcW w:w="1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10,000</w:t>
            </w:r>
          </w:p>
        </w:tc>
        <w:tc>
          <w:tcPr>
            <w:tcW w:w="4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20,000</w:t>
            </w:r>
          </w:p>
        </w:tc>
        <w:tc>
          <w:tcPr>
            <w:tcW w:w="4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OPTION EXERCISE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stock option exercise transaction and record keeping are performed for the Company by Merrill Lynch.</w:t>
      </w:r>
    </w:p>
    <w:p>
      <w:pPr>
        <w:spacing w:after="0" w:line="18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If you wish to exercise your vested stock options, you should use the Merrill Lynch website at </w:t>
      </w:r>
      <w:r>
        <w:rPr>
          <w:rFonts w:ascii="Arial" w:cs="Arial" w:eastAsia="Arial" w:hAnsi="Arial"/>
          <w:sz w:val="18"/>
          <w:szCs w:val="18"/>
          <w:u w:val="single" w:color="auto"/>
          <w:color w:val="auto"/>
        </w:rPr>
        <w:t>www.benefits.ml.com</w:t>
      </w:r>
      <w:r>
        <w:rPr>
          <w:rFonts w:ascii="Arial" w:cs="Arial" w:eastAsia="Arial" w:hAnsi="Arial"/>
          <w:sz w:val="18"/>
          <w:szCs w:val="18"/>
          <w:color w:val="auto"/>
        </w:rPr>
        <w:t xml:space="preserve"> and follow the instructions you received for accessing the site. You may also view information about stock options you have received at the Merrill Lynch website.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You must have an open brokerage account at Merrill Lynch in order to exercise your options</w:t>
      </w:r>
      <w:r>
        <w:rPr>
          <w:rFonts w:ascii="Arial" w:cs="Arial" w:eastAsia="Arial" w:hAnsi="Arial"/>
          <w:sz w:val="18"/>
          <w:szCs w:val="18"/>
          <w:color w:val="auto"/>
        </w:rPr>
        <w:t>.</w:t>
      </w:r>
    </w:p>
    <w:p>
      <w:pPr>
        <w:spacing w:after="0" w:line="19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you prefer to use the Merrill Lynch call center (exercise fees for this option are higher) you may contact a Merrill Lynch representative at 1-877-765-POLO and indicate your intent to exercise.</w:t>
      </w:r>
    </w:p>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Please refer to Page 7 for important information regarding the tax consequences of stock option exercise and Page 8 for information about “Blackout” periods when stock options may not be exercised.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Methods of exercising stock options</w:t>
      </w:r>
      <w:r>
        <w:rPr>
          <w:rFonts w:ascii="Arial" w:cs="Arial" w:eastAsia="Arial" w:hAnsi="Arial"/>
          <w:sz w:val="18"/>
          <w:szCs w:val="18"/>
          <w:color w:val="auto"/>
        </w:rPr>
        <w:t>:</w:t>
      </w:r>
    </w:p>
    <w:p>
      <w:pPr>
        <w:spacing w:after="0" w:line="19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When you exercise your stock options, you purchase Polo Ralph Lauren shares at the option price set at the time the option was granted. Stock options may be exercised in three ways:</w:t>
      </w:r>
    </w:p>
    <w:p>
      <w:pPr>
        <w:spacing w:after="0" w:line="166" w:lineRule="exact"/>
        <w:rPr>
          <w:sz w:val="20"/>
          <w:szCs w:val="20"/>
          <w:color w:val="auto"/>
        </w:rPr>
      </w:pPr>
    </w:p>
    <w:p>
      <w:pPr>
        <w:ind w:left="220" w:hanging="212"/>
        <w:spacing w:after="0"/>
        <w:tabs>
          <w:tab w:leader="none" w:pos="22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Cash Exercise</w:t>
      </w:r>
      <w:r>
        <w:rPr>
          <w:rFonts w:ascii="Arial" w:cs="Arial" w:eastAsia="Arial" w:hAnsi="Arial"/>
          <w:sz w:val="18"/>
          <w:szCs w:val="18"/>
          <w:color w:val="auto"/>
        </w:rPr>
        <w:t>: Paying cash for the exercise cost.</w:t>
      </w:r>
    </w:p>
    <w:p>
      <w:pPr>
        <w:spacing w:after="0" w:line="225" w:lineRule="exact"/>
        <w:rPr>
          <w:rFonts w:ascii="Arial" w:cs="Arial" w:eastAsia="Arial" w:hAnsi="Arial"/>
          <w:sz w:val="18"/>
          <w:szCs w:val="18"/>
          <w:b w:val="1"/>
          <w:bCs w:val="1"/>
          <w:color w:val="auto"/>
        </w:rPr>
      </w:pPr>
    </w:p>
    <w:p>
      <w:pPr>
        <w:ind w:left="220" w:hanging="212"/>
        <w:spacing w:after="0"/>
        <w:tabs>
          <w:tab w:leader="none" w:pos="220" w:val="left"/>
        </w:tabs>
        <w:numPr>
          <w:ilvl w:val="0"/>
          <w:numId w:val="116"/>
        </w:numPr>
        <w:rPr>
          <w:rFonts w:ascii="Arial" w:cs="Arial" w:eastAsia="Arial" w:hAnsi="Arial"/>
          <w:sz w:val="17"/>
          <w:szCs w:val="17"/>
          <w:b w:val="1"/>
          <w:bCs w:val="1"/>
          <w:color w:val="auto"/>
        </w:rPr>
      </w:pPr>
      <w:r>
        <w:rPr>
          <w:rFonts w:ascii="Arial" w:cs="Arial" w:eastAsia="Arial" w:hAnsi="Arial"/>
          <w:sz w:val="17"/>
          <w:szCs w:val="17"/>
          <w:b w:val="1"/>
          <w:bCs w:val="1"/>
          <w:color w:val="auto"/>
        </w:rPr>
        <w:t>Cashless Exercise</w:t>
      </w:r>
      <w:r>
        <w:rPr>
          <w:rFonts w:ascii="Arial" w:cs="Arial" w:eastAsia="Arial" w:hAnsi="Arial"/>
          <w:sz w:val="17"/>
          <w:szCs w:val="17"/>
          <w:color w:val="auto"/>
        </w:rPr>
        <w:t>: Exercising stock options and paying for the exercise costs by simultaneously selling the stock and retaining the net gain.</w:t>
      </w:r>
    </w:p>
    <w:p>
      <w:pPr>
        <w:spacing w:after="0" w:line="236" w:lineRule="exact"/>
        <w:rPr>
          <w:rFonts w:ascii="Arial" w:cs="Arial" w:eastAsia="Arial" w:hAnsi="Arial"/>
          <w:sz w:val="17"/>
          <w:szCs w:val="17"/>
          <w:b w:val="1"/>
          <w:bCs w:val="1"/>
          <w:color w:val="auto"/>
        </w:rPr>
      </w:pPr>
    </w:p>
    <w:p>
      <w:pPr>
        <w:ind w:left="220" w:hanging="212"/>
        <w:spacing w:after="0"/>
        <w:tabs>
          <w:tab w:leader="none" w:pos="220" w:val="left"/>
        </w:tabs>
        <w:numPr>
          <w:ilvl w:val="0"/>
          <w:numId w:val="116"/>
        </w:numPr>
        <w:rPr>
          <w:rFonts w:ascii="Arial" w:cs="Arial" w:eastAsia="Arial" w:hAnsi="Arial"/>
          <w:sz w:val="17"/>
          <w:szCs w:val="17"/>
          <w:b w:val="1"/>
          <w:bCs w:val="1"/>
          <w:color w:val="auto"/>
        </w:rPr>
      </w:pPr>
      <w:r>
        <w:rPr>
          <w:rFonts w:ascii="Arial" w:cs="Arial" w:eastAsia="Arial" w:hAnsi="Arial"/>
          <w:sz w:val="17"/>
          <w:szCs w:val="17"/>
          <w:b w:val="1"/>
          <w:bCs w:val="1"/>
          <w:color w:val="auto"/>
        </w:rPr>
        <w:t>Stock-for-Stock Exchange</w:t>
      </w:r>
      <w:r>
        <w:rPr>
          <w:rFonts w:ascii="Arial" w:cs="Arial" w:eastAsia="Arial" w:hAnsi="Arial"/>
          <w:sz w:val="17"/>
          <w:szCs w:val="17"/>
          <w:color w:val="auto"/>
        </w:rPr>
        <w:t>: Using shares of Polo Ralph Lauren stock that you have owned for at least six months to pay for the exercise costs.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SHARES</w:t>
      </w:r>
    </w:p>
    <w:p>
      <w:pPr>
        <w:spacing w:after="0" w:line="18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When shares are acquired due to exercise of stock options and sold at a later date, participants can benefit from any price appreciation that has occurred since the purchase date. As noted above, shares realized from a stock option exercise may be sold at any time, except during those “Blackout” periods specified by the Company’s Securities Trading Policy (see Page 8). Executive Officers, however, may sell shares only pursuant to SEC Rule 144 or another applicable exception under the Securities Act of 1933, as Amended.</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u w:val="single" w:color="auto"/>
          <w:color w:val="auto"/>
        </w:rPr>
        <w:t>Impact of Employment Termination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explains the impact on options if you leave Polo Ralph Lauren.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ON OPTIONS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Event</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Vested Options</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10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auto"/>
              </w:rPr>
              <w:t>Unvested Options</w:t>
            </w:r>
          </w:p>
        </w:tc>
        <w:tc>
          <w:tcPr>
            <w:tcW w:w="0" w:type="dxa"/>
            <w:vAlign w:val="bottom"/>
          </w:tcPr>
          <w:p>
            <w:pPr>
              <w:spacing w:after="0"/>
              <w:rPr>
                <w:sz w:val="1"/>
                <w:szCs w:val="1"/>
                <w:color w:val="auto"/>
              </w:rPr>
            </w:pPr>
          </w:p>
        </w:tc>
      </w:tr>
      <w:tr>
        <w:trPr>
          <w:trHeight w:val="195"/>
        </w:trPr>
        <w:tc>
          <w:tcPr>
            <w:tcW w:w="2940" w:type="dxa"/>
            <w:vAlign w:val="bottom"/>
          </w:tcPr>
          <w:p>
            <w:pPr>
              <w:spacing w:after="0" w:line="195" w:lineRule="exact"/>
              <w:rPr>
                <w:sz w:val="20"/>
                <w:szCs w:val="20"/>
                <w:color w:val="auto"/>
              </w:rPr>
            </w:pPr>
            <w:r>
              <w:rPr>
                <w:rFonts w:ascii="Arial" w:cs="Arial" w:eastAsia="Arial" w:hAnsi="Arial"/>
                <w:sz w:val="18"/>
                <w:szCs w:val="18"/>
                <w:color w:val="auto"/>
              </w:rPr>
              <w:t>Normal Retirement at</w:t>
            </w:r>
          </w:p>
        </w:tc>
        <w:tc>
          <w:tcPr>
            <w:tcW w:w="220" w:type="dxa"/>
            <w:vAlign w:val="bottom"/>
          </w:tcPr>
          <w:p>
            <w:pPr>
              <w:spacing w:after="0"/>
              <w:rPr>
                <w:sz w:val="16"/>
                <w:szCs w:val="16"/>
                <w:color w:val="auto"/>
              </w:rPr>
            </w:pPr>
          </w:p>
        </w:tc>
        <w:tc>
          <w:tcPr>
            <w:tcW w:w="240" w:type="dxa"/>
            <w:vAlign w:val="bottom"/>
          </w:tcPr>
          <w:p>
            <w:pPr>
              <w:jc w:val="right"/>
              <w:ind w:right="160"/>
              <w:spacing w:after="0"/>
              <w:rPr>
                <w:sz w:val="20"/>
                <w:szCs w:val="20"/>
                <w:color w:val="auto"/>
              </w:rPr>
            </w:pPr>
            <w:r>
              <w:rPr>
                <w:rFonts w:ascii="Arial" w:cs="Arial" w:eastAsia="Arial" w:hAnsi="Arial"/>
                <w:sz w:val="8"/>
                <w:szCs w:val="8"/>
                <w:color w:val="auto"/>
                <w:w w:val="73"/>
              </w:rPr>
              <w:t>·</w:t>
            </w:r>
          </w:p>
        </w:tc>
        <w:tc>
          <w:tcPr>
            <w:tcW w:w="3460" w:type="dxa"/>
            <w:vAlign w:val="bottom"/>
          </w:tcPr>
          <w:p>
            <w:pPr>
              <w:ind w:left="180"/>
              <w:spacing w:after="0" w:line="195" w:lineRule="exact"/>
              <w:rPr>
                <w:sz w:val="20"/>
                <w:szCs w:val="20"/>
                <w:color w:val="auto"/>
              </w:rPr>
            </w:pPr>
            <w:r>
              <w:rPr>
                <w:rFonts w:ascii="Arial" w:cs="Arial" w:eastAsia="Arial" w:hAnsi="Arial"/>
                <w:sz w:val="18"/>
                <w:szCs w:val="18"/>
                <w:color w:val="auto"/>
              </w:rPr>
              <w:t>Up to three years to exercise any vested</w:t>
            </w:r>
          </w:p>
        </w:tc>
        <w:tc>
          <w:tcPr>
            <w:tcW w:w="220" w:type="dxa"/>
            <w:vAlign w:val="bottom"/>
          </w:tcPr>
          <w:p>
            <w:pPr>
              <w:spacing w:after="0"/>
              <w:rPr>
                <w:sz w:val="16"/>
                <w:szCs w:val="16"/>
                <w:color w:val="auto"/>
              </w:rPr>
            </w:pPr>
          </w:p>
        </w:tc>
        <w:tc>
          <w:tcPr>
            <w:tcW w:w="240" w:type="dxa"/>
            <w:vAlign w:val="bottom"/>
          </w:tcPr>
          <w:p>
            <w:pPr>
              <w:jc w:val="right"/>
              <w:ind w:right="160"/>
              <w:spacing w:after="0"/>
              <w:rPr>
                <w:sz w:val="20"/>
                <w:szCs w:val="20"/>
                <w:color w:val="auto"/>
              </w:rPr>
            </w:pPr>
            <w:r>
              <w:rPr>
                <w:rFonts w:ascii="Arial" w:cs="Arial" w:eastAsia="Arial" w:hAnsi="Arial"/>
                <w:sz w:val="8"/>
                <w:szCs w:val="8"/>
                <w:color w:val="auto"/>
                <w:w w:val="73"/>
              </w:rPr>
              <w:t>·</w:t>
            </w:r>
          </w:p>
        </w:tc>
        <w:tc>
          <w:tcPr>
            <w:tcW w:w="4100" w:type="dxa"/>
            <w:vAlign w:val="bottom"/>
          </w:tcPr>
          <w:p>
            <w:pPr>
              <w:ind w:left="200"/>
              <w:spacing w:after="0" w:line="195" w:lineRule="exact"/>
              <w:rPr>
                <w:sz w:val="20"/>
                <w:szCs w:val="20"/>
                <w:color w:val="auto"/>
              </w:rPr>
            </w:pPr>
            <w:r>
              <w:rPr>
                <w:rFonts w:ascii="Arial" w:cs="Arial" w:eastAsia="Arial" w:hAnsi="Arial"/>
                <w:sz w:val="18"/>
                <w:szCs w:val="18"/>
                <w:color w:val="auto"/>
                <w:w w:val="96"/>
              </w:rPr>
              <w:t>Unvested options continue to vest according to the</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age 65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w w:val="93"/>
              </w:rPr>
              <w:t>stock options after retirement, provided they</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w w:val="99"/>
              </w:rPr>
              <w:t>original vesting schedule (one-third each year for</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w w:val="89"/>
              </w:rPr>
              <w:t>do not expire sooner. The options expire after</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w w:val="97"/>
              </w:rPr>
              <w:t>three years). If the options are not exercised once</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the three years.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w w:val="99"/>
              </w:rPr>
              <w:t>vested within three years of retirement date, they</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expire. Any unvested options are forfeited if the</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participant goes to work for a competitor.</w:t>
            </w:r>
          </w:p>
        </w:tc>
        <w:tc>
          <w:tcPr>
            <w:tcW w:w="0" w:type="dxa"/>
            <w:vAlign w:val="bottom"/>
          </w:tcPr>
          <w:p>
            <w:pPr>
              <w:spacing w:after="0"/>
              <w:rPr>
                <w:sz w:val="1"/>
                <w:szCs w:val="1"/>
                <w:color w:val="auto"/>
              </w:rPr>
            </w:pPr>
          </w:p>
        </w:tc>
      </w:tr>
      <w:tr>
        <w:trPr>
          <w:trHeight w:val="418"/>
        </w:trPr>
        <w:tc>
          <w:tcPr>
            <w:tcW w:w="2940" w:type="dxa"/>
            <w:vAlign w:val="bottom"/>
          </w:tcPr>
          <w:p>
            <w:pPr>
              <w:spacing w:after="0"/>
              <w:rPr>
                <w:sz w:val="20"/>
                <w:szCs w:val="20"/>
                <w:color w:val="auto"/>
              </w:rPr>
            </w:pPr>
            <w:r>
              <w:rPr>
                <w:rFonts w:ascii="Arial" w:cs="Arial" w:eastAsia="Arial" w:hAnsi="Arial"/>
                <w:sz w:val="18"/>
                <w:szCs w:val="18"/>
                <w:color w:val="auto"/>
                <w:w w:val="95"/>
              </w:rPr>
              <w:t>Early Retirement at age 55 with seven</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60" w:type="dxa"/>
            <w:vAlign w:val="bottom"/>
          </w:tcPr>
          <w:p>
            <w:pPr>
              <w:ind w:left="180"/>
              <w:spacing w:after="0"/>
              <w:rPr>
                <w:sz w:val="20"/>
                <w:szCs w:val="20"/>
                <w:color w:val="auto"/>
              </w:rPr>
            </w:pPr>
            <w:r>
              <w:rPr>
                <w:rFonts w:ascii="Arial" w:cs="Arial" w:eastAsia="Arial" w:hAnsi="Arial"/>
                <w:sz w:val="18"/>
                <w:szCs w:val="18"/>
                <w:color w:val="auto"/>
                <w:w w:val="98"/>
              </w:rPr>
              <w:t>Up to one year to exercise vested options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rPr>
              <w:t>All unvested stock options are forfeited.</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or more years of service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w w:val="93"/>
              </w:rPr>
              <w:t>after retirement, provided they do not expire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w w:val="92"/>
              </w:rPr>
              <w:t>sooner. The options expire at the end of one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year. However, any vested options are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w w:val="98"/>
              </w:rPr>
              <w:t>forfeited if a participant goes to work for a</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competitor.</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940" w:type="dxa"/>
            <w:vAlign w:val="bottom"/>
          </w:tcPr>
          <w:p>
            <w:pPr>
              <w:spacing w:after="0"/>
              <w:rPr>
                <w:sz w:val="20"/>
                <w:szCs w:val="20"/>
                <w:color w:val="auto"/>
              </w:rPr>
            </w:pPr>
            <w:r>
              <w:rPr>
                <w:rFonts w:ascii="Arial" w:cs="Arial" w:eastAsia="Arial" w:hAnsi="Arial"/>
                <w:sz w:val="18"/>
                <w:szCs w:val="18"/>
                <w:color w:val="auto"/>
              </w:rPr>
              <w:t>Death/Disability</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60" w:type="dxa"/>
            <w:vAlign w:val="bottom"/>
          </w:tcPr>
          <w:p>
            <w:pPr>
              <w:ind w:left="180"/>
              <w:spacing w:after="0"/>
              <w:rPr>
                <w:sz w:val="20"/>
                <w:szCs w:val="20"/>
                <w:color w:val="auto"/>
              </w:rPr>
            </w:pPr>
            <w:r>
              <w:rPr>
                <w:rFonts w:ascii="Arial" w:cs="Arial" w:eastAsia="Arial" w:hAnsi="Arial"/>
                <w:sz w:val="18"/>
                <w:szCs w:val="18"/>
                <w:color w:val="auto"/>
                <w:w w:val="87"/>
              </w:rPr>
              <w:t>In the case of death, the estate has up to three</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w w:val="96"/>
              </w:rPr>
              <w:t>Unvested options continue to vest according to the</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w w:val="94"/>
              </w:rPr>
              <w:t>years to exercise any vested stock options,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w w:val="91"/>
              </w:rPr>
              <w:t>original vesting schedule (i.e., one-third each year for</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w w:val="93"/>
              </w:rPr>
              <w:t>provided they do not expire sooner. Options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w w:val="99"/>
              </w:rPr>
              <w:t>three years). If not exercised, once vested, within</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expire if not exercised after three years.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three years of the date of death or disability, the</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460" w:type="dxa"/>
            <w:vAlign w:val="bottom"/>
            <w:vMerge w:val="restart"/>
          </w:tcPr>
          <w:p>
            <w:pPr>
              <w:ind w:left="180"/>
              <w:spacing w:after="0"/>
              <w:rPr>
                <w:sz w:val="20"/>
                <w:szCs w:val="20"/>
                <w:color w:val="auto"/>
              </w:rPr>
            </w:pPr>
            <w:r>
              <w:rPr>
                <w:rFonts w:ascii="Arial" w:cs="Arial" w:eastAsia="Arial" w:hAnsi="Arial"/>
                <w:sz w:val="18"/>
                <w:szCs w:val="18"/>
                <w:color w:val="auto"/>
                <w:w w:val="92"/>
              </w:rPr>
              <w:t>In the case of disability, participants have up</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options expire.</w:t>
            </w:r>
          </w:p>
        </w:tc>
        <w:tc>
          <w:tcPr>
            <w:tcW w:w="0" w:type="dxa"/>
            <w:vAlign w:val="bottom"/>
          </w:tcPr>
          <w:p>
            <w:pPr>
              <w:spacing w:after="0"/>
              <w:rPr>
                <w:sz w:val="1"/>
                <w:szCs w:val="1"/>
                <w:color w:val="auto"/>
              </w:rPr>
            </w:pPr>
          </w:p>
        </w:tc>
      </w:tr>
      <w:tr>
        <w:trPr>
          <w:trHeight w:val="202"/>
        </w:trPr>
        <w:tc>
          <w:tcPr>
            <w:tcW w:w="294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34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w w:val="95"/>
              </w:rPr>
              <w:t>to three years to exercise any vested stock</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options after long-term disability begins,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provided they do not expire sooner. The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options expire if not exercised within the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three years.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940" w:type="dxa"/>
            <w:vAlign w:val="bottom"/>
          </w:tcPr>
          <w:p>
            <w:pPr>
              <w:spacing w:after="0"/>
              <w:rPr>
                <w:sz w:val="20"/>
                <w:szCs w:val="20"/>
                <w:color w:val="auto"/>
              </w:rPr>
            </w:pPr>
            <w:r>
              <w:rPr>
                <w:rFonts w:ascii="Arial" w:cs="Arial" w:eastAsia="Arial" w:hAnsi="Arial"/>
                <w:sz w:val="18"/>
                <w:szCs w:val="18"/>
                <w:color w:val="auto"/>
              </w:rPr>
              <w:t>Involuntary Termination</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60" w:type="dxa"/>
            <w:vAlign w:val="bottom"/>
          </w:tcPr>
          <w:p>
            <w:pPr>
              <w:ind w:left="180"/>
              <w:spacing w:after="0"/>
              <w:rPr>
                <w:sz w:val="20"/>
                <w:szCs w:val="20"/>
                <w:color w:val="auto"/>
              </w:rPr>
            </w:pPr>
            <w:r>
              <w:rPr>
                <w:rFonts w:ascii="Arial" w:cs="Arial" w:eastAsia="Arial" w:hAnsi="Arial"/>
                <w:sz w:val="18"/>
                <w:szCs w:val="18"/>
                <w:color w:val="auto"/>
                <w:w w:val="96"/>
              </w:rPr>
              <w:t>Up to three months to exercise any vested</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rPr>
              <w:t>All unvested stock options are forfeited.</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w w:val="98"/>
              </w:rPr>
              <w:t>stock options, provided they do not expire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sooner.</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940" w:type="dxa"/>
            <w:vAlign w:val="bottom"/>
          </w:tcPr>
          <w:p>
            <w:pPr>
              <w:spacing w:after="0"/>
              <w:rPr>
                <w:sz w:val="20"/>
                <w:szCs w:val="20"/>
                <w:color w:val="auto"/>
              </w:rPr>
            </w:pPr>
            <w:r>
              <w:rPr>
                <w:rFonts w:ascii="Arial" w:cs="Arial" w:eastAsia="Arial" w:hAnsi="Arial"/>
                <w:sz w:val="18"/>
                <w:szCs w:val="18"/>
                <w:color w:val="auto"/>
              </w:rPr>
              <w:t>Dismissal for Cause or</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60" w:type="dxa"/>
            <w:vAlign w:val="bottom"/>
          </w:tcPr>
          <w:p>
            <w:pPr>
              <w:ind w:left="180"/>
              <w:spacing w:after="0"/>
              <w:rPr>
                <w:sz w:val="20"/>
                <w:szCs w:val="20"/>
                <w:color w:val="auto"/>
              </w:rPr>
            </w:pPr>
            <w:r>
              <w:rPr>
                <w:rFonts w:ascii="Arial" w:cs="Arial" w:eastAsia="Arial" w:hAnsi="Arial"/>
                <w:sz w:val="18"/>
                <w:szCs w:val="18"/>
                <w:color w:val="auto"/>
                <w:w w:val="97"/>
              </w:rPr>
              <w:t>All vested stock options are forfeited as of</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rPr>
              <w:t>All unvested stock options are forfeited.</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Voluntary Resignation</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date of termination.</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If a participant has exercised any stock options or currently owns Polo Ralph Lauren stock, the participant retains all rights to those shares.</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Tax Liability</w:t>
      </w:r>
    </w:p>
    <w:p>
      <w:pPr>
        <w:spacing w:after="0" w:line="20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b w:val="1"/>
          <w:bCs w:val="1"/>
          <w:i w:val="1"/>
          <w:iCs w:val="1"/>
          <w:color w:val="auto"/>
        </w:rPr>
        <w:t>The following statements regarding United States federal income tax consequences of the grant and exercise of Stock Option awards under the Plan should be read in conjunction with the “Federal Income Tax Consequences” section of the Memorandum to Participants in the Polo Ralph Lauren 1997 Long-Term Stock Incentive Plan and are not intended to be a complete summary of applicable law, nor do they address state, local or non-U.S. tax considerations. Moreover, the federal income tax consequences to any particular participant may differ from those described herein by reason of, among other things, the specific circumstances of such participant. For these reasons, participants are urged to consult their tax advisors with respect to the consequences of their participation in the Plan.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 GRANT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 United States federal income tax is owed at grant.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 EXERCISE</w:t>
      </w:r>
    </w:p>
    <w:p>
      <w:pPr>
        <w:spacing w:after="0" w:line="18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color w:val="auto"/>
        </w:rPr>
        <w:t xml:space="preserve">United States federal income tax is owed on the stock option </w:t>
      </w:r>
      <w:r>
        <w:rPr>
          <w:rFonts w:ascii="Arial" w:cs="Arial" w:eastAsia="Arial" w:hAnsi="Arial"/>
          <w:sz w:val="18"/>
          <w:szCs w:val="18"/>
          <w:b w:val="1"/>
          <w:bCs w:val="1"/>
          <w:color w:val="auto"/>
        </w:rPr>
        <w:t>gain</w:t>
      </w:r>
      <w:r>
        <w:rPr>
          <w:rFonts w:ascii="Arial" w:cs="Arial" w:eastAsia="Arial" w:hAnsi="Arial"/>
          <w:sz w:val="18"/>
          <w:szCs w:val="18"/>
          <w:color w:val="auto"/>
        </w:rPr>
        <w:t xml:space="preserve"> when options are exercised. The gain is the amount equal to the difference between the option grant price and the market price of the stock at the time of exercise.</w:t>
      </w:r>
    </w:p>
    <w:p>
      <w:pPr>
        <w:spacing w:after="0" w:line="1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 percentage of the gain will be withheld to satisfy applicable federal, state, and local payroll and income tax withholding requirements. However, the amount withheld by Polo may be less than a participant’s actual federal, state, or local income tax liabilities because the rate at which the participant’s income is taxed may exceed required withholding rates. Participants may wish to arrange for additional withholding or estimated tax payments.</w:t>
      </w:r>
    </w:p>
    <w:p>
      <w:pPr>
        <w:spacing w:after="0" w:line="139"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U.S. Federal tax liability is based on ordinary income on the gain. For example, if the gain is $10,000, and the federal income tax withholding rate is 25 percent, the withholding tax will be $2,500 ($10,000 x .25). In addition, the gain will be subject to state and local taxes, as well as Federal Insurance Contributions Act (FICA) to the extent applicable.</w:t>
      </w:r>
    </w:p>
    <w:p>
      <w:pPr>
        <w:spacing w:after="0" w:line="14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Participants are required to provide Polo Ralph Lauren with either cash or stock to satisfy any withholding tax requirements at the time they exercise their stock options.</w:t>
      </w:r>
    </w:p>
    <w:p>
      <w:pPr>
        <w:spacing w:after="0" w:line="13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Any income generated from exercising stock options must be reported to the Internal Revenue Service (IRS) and will therefore be included on the W-2 form received in January.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SALES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Please consult the Prospectus and your own tax advisor.</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color w:val="auto"/>
        </w:rPr>
        <w:t>Other Administrative Issues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As provided in the Polo Ralph Lauren Employee Handbook, employees are prohibited by law from buying or selling stock if an employee has or is aware of any </w:t>
      </w:r>
      <w:r>
        <w:rPr>
          <w:rFonts w:ascii="Arial" w:cs="Arial" w:eastAsia="Arial" w:hAnsi="Arial"/>
          <w:sz w:val="18"/>
          <w:szCs w:val="18"/>
          <w:i w:val="1"/>
          <w:iCs w:val="1"/>
          <w:color w:val="auto"/>
        </w:rPr>
        <w:t>material, non-public information</w:t>
      </w:r>
      <w:r>
        <w:rPr>
          <w:rFonts w:ascii="Arial" w:cs="Arial" w:eastAsia="Arial" w:hAnsi="Arial"/>
          <w:sz w:val="18"/>
          <w:szCs w:val="18"/>
          <w:color w:val="auto"/>
        </w:rPr>
        <w:t xml:space="preserve"> about Polo Ralph Lauren. This is commonly referred to as “insider information.” Material, non-public information is any information that has not been disclosed to the public that could affect the price of RL stock — either positively or negatively — or affect a person’s decision to buy, hold or sell stock.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Examples of what might be considered “insider information” include but are not limited to the following:</w:t>
      </w:r>
    </w:p>
    <w:p>
      <w:pPr>
        <w:spacing w:after="0" w:line="225"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color w:val="auto"/>
        </w:rPr>
        <w:t>Earnings or other financial information;</w:t>
      </w:r>
    </w:p>
    <w:p>
      <w:pPr>
        <w:spacing w:after="0" w:line="2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color w:val="auto"/>
        </w:rPr>
        <w:t>Changes in dividend policy;</w:t>
      </w:r>
    </w:p>
    <w:p>
      <w:pPr>
        <w:spacing w:after="0" w:line="2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color w:val="auto"/>
        </w:rPr>
        <w:t>Stock splits;</w:t>
      </w:r>
    </w:p>
    <w:p>
      <w:pPr>
        <w:spacing w:after="0" w:line="2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color w:val="auto"/>
        </w:rPr>
        <w:t>Mergers and acquisitions;</w:t>
      </w:r>
    </w:p>
    <w:p>
      <w:pPr>
        <w:spacing w:after="0" w:line="2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color w:val="auto"/>
        </w:rPr>
        <w:t>Major new contracts or product-line introductions;</w:t>
      </w:r>
    </w:p>
    <w:p>
      <w:pPr>
        <w:spacing w:after="0" w:line="2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color w:val="auto"/>
        </w:rPr>
        <w:t>Litigation involving substantial amounts of money; or</w:t>
      </w:r>
    </w:p>
    <w:p>
      <w:pPr>
        <w:spacing w:after="0" w:line="2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color w:val="auto"/>
        </w:rPr>
        <w:t>Changes in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These insider-trading rules are applicable to employees of Polo Ralph Lauren and its related companies worldwide.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BLACKOUT PERIODS</w:t>
      </w:r>
    </w:p>
    <w:p>
      <w:pPr>
        <w:spacing w:after="0" w:line="18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To avoid even the appearance of “insider trading,” our Company’s policy prohibits members of the Board of Directors and all employees from making trades involving stock of the Company during certain “blackout periods.” This prohibition covers buying or selling shares, including the exercise of stock options. These blackout periods generally begin two weeks before the end of each of our fiscal quarters and continue through one trading day after the Company issues its earnings release for the fiscal quarter or year just ended. If the earnings release is issued before the opening of the market on a trading day, trading may begin the next day. The “blackout periods” are announced at the start of each year. In addition, members of the Board of Directors, officers, and employees in the Finance and Legal departments must clear all trades with the Corporate Counsel, whether they occur within a blackout period or not.</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ADDITIONAL PROHIBITED TRANSACTIONS</w:t>
      </w:r>
    </w:p>
    <w:p>
      <w:pPr>
        <w:spacing w:after="0" w:line="202"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Because we believe it is inappropriate for any Company personnel to engage in short-term or speculative transactions involving the Company’s common stock, it is Company policy that employees do not engage in any of the following activities with respect to the securities of the company:</w:t>
      </w:r>
    </w:p>
    <w:p>
      <w:pPr>
        <w:spacing w:after="0" w:line="143" w:lineRule="exact"/>
        <w:rPr>
          <w:sz w:val="20"/>
          <w:szCs w:val="20"/>
          <w:color w:val="auto"/>
        </w:rPr>
      </w:pPr>
    </w:p>
    <w:p>
      <w:pPr>
        <w:ind w:left="460" w:right="120" w:hanging="452"/>
        <w:spacing w:after="0" w:line="258" w:lineRule="auto"/>
        <w:tabs>
          <w:tab w:leader="none" w:pos="4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 and out” trading in securities of the Company. </w:t>
      </w:r>
      <w:r>
        <w:rPr>
          <w:rFonts w:ascii="Arial" w:cs="Arial" w:eastAsia="Arial" w:hAnsi="Arial"/>
          <w:sz w:val="18"/>
          <w:szCs w:val="18"/>
          <w:color w:val="auto"/>
        </w:rPr>
        <w:t>Any Company stock purchased in the market must be held for a minimum of six months, and</w:t>
      </w:r>
      <w:r>
        <w:rPr>
          <w:rFonts w:ascii="Arial" w:cs="Arial" w:eastAsia="Arial" w:hAnsi="Arial"/>
          <w:sz w:val="18"/>
          <w:szCs w:val="18"/>
          <w:b w:val="1"/>
          <w:bCs w:val="1"/>
          <w:color w:val="auto"/>
        </w:rPr>
        <w:t xml:space="preserve"> </w:t>
      </w:r>
      <w:r>
        <w:rPr>
          <w:rFonts w:ascii="Arial" w:cs="Arial" w:eastAsia="Arial" w:hAnsi="Arial"/>
          <w:sz w:val="18"/>
          <w:szCs w:val="18"/>
          <w:color w:val="auto"/>
        </w:rPr>
        <w:t>ideally longer. (Note that the Securities and Exchange Commission (SEC) has a “short-swing profit recapture” rule that effectively prohibits Executive Officers and members of the Board of Directors from selling any Company stock within six months of a purchase — we have simply extended this prohibition to all employees. (Exercise of options with an exercise price above the then current market price of the stock, however, is not considered a purchase under the SEC’s rule.)</w:t>
      </w:r>
    </w:p>
    <w:p>
      <w:pPr>
        <w:spacing w:after="0" w:line="183" w:lineRule="exact"/>
        <w:rPr>
          <w:rFonts w:ascii="Arial" w:cs="Arial" w:eastAsia="Arial" w:hAnsi="Arial"/>
          <w:sz w:val="18"/>
          <w:szCs w:val="18"/>
          <w:b w:val="1"/>
          <w:bCs w:val="1"/>
          <w:color w:val="auto"/>
        </w:rPr>
      </w:pPr>
    </w:p>
    <w:p>
      <w:pPr>
        <w:ind w:left="460" w:hanging="452"/>
        <w:spacing w:after="0"/>
        <w:tabs>
          <w:tab w:leader="none" w:pos="4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Short sales </w:t>
      </w:r>
      <w:r>
        <w:rPr>
          <w:rFonts w:ascii="Arial" w:cs="Arial" w:eastAsia="Arial" w:hAnsi="Arial"/>
          <w:sz w:val="18"/>
          <w:szCs w:val="18"/>
          <w:color w:val="auto"/>
        </w:rPr>
        <w:t>(i.e., selling stock one does not own and then borrowing the shares to make delivery.)</w:t>
      </w:r>
    </w:p>
    <w:p>
      <w:pPr>
        <w:spacing w:after="0" w:line="2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Buying or selling “puts” or “calls” </w:t>
      </w:r>
      <w:r>
        <w:rPr>
          <w:rFonts w:ascii="Arial" w:cs="Arial" w:eastAsia="Arial" w:hAnsi="Arial"/>
          <w:sz w:val="18"/>
          <w:szCs w:val="18"/>
          <w:color w:val="auto"/>
        </w:rPr>
        <w:t>(i.e., making commitments to buy or sell securities at a specified price for a fixed period of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CLEARANCE OF ALL TRADES BY DIRECTORS, OFFICERS AND OTHER KEY PERSONNEL</w:t>
      </w:r>
    </w:p>
    <w:p>
      <w:pPr>
        <w:spacing w:after="0" w:line="185" w:lineRule="exact"/>
        <w:rPr>
          <w:sz w:val="20"/>
          <w:szCs w:val="20"/>
          <w:color w:val="auto"/>
        </w:rPr>
      </w:pPr>
    </w:p>
    <w:p>
      <w:pPr>
        <w:jc w:val="both"/>
        <w:ind w:right="320"/>
        <w:spacing w:after="0" w:line="266" w:lineRule="auto"/>
        <w:rPr>
          <w:sz w:val="20"/>
          <w:szCs w:val="20"/>
          <w:color w:val="auto"/>
        </w:rPr>
      </w:pPr>
      <w:r>
        <w:rPr>
          <w:rFonts w:ascii="Arial" w:cs="Arial" w:eastAsia="Arial" w:hAnsi="Arial"/>
          <w:sz w:val="18"/>
          <w:szCs w:val="18"/>
          <w:b w:val="1"/>
          <w:bCs w:val="1"/>
          <w:color w:val="auto"/>
        </w:rPr>
        <w:t xml:space="preserve">All transactions in Company stock (purchases, sales, transfers, etc.) by members of the Board of Directors, officers, and personnel in the Finance and Legal departments must be cleared by the Corporate Counsel. If you contemplate a transaction, you must contact the Corporate Counsel at (212) 705-8280 </w:t>
      </w:r>
      <w:r>
        <w:rPr>
          <w:rFonts w:ascii="Arial" w:cs="Arial" w:eastAsia="Arial" w:hAnsi="Arial"/>
          <w:sz w:val="18"/>
          <w:szCs w:val="18"/>
          <w:b w:val="1"/>
          <w:bCs w:val="1"/>
          <w:u w:val="single" w:color="auto"/>
          <w:color w:val="auto"/>
        </w:rPr>
        <w:t>before</w:t>
      </w:r>
      <w:r>
        <w:rPr>
          <w:rFonts w:ascii="Arial" w:cs="Arial" w:eastAsia="Arial" w:hAnsi="Arial"/>
          <w:sz w:val="18"/>
          <w:szCs w:val="18"/>
          <w:b w:val="1"/>
          <w:bCs w:val="1"/>
          <w:color w:val="auto"/>
        </w:rPr>
        <w:t xml:space="preserve"> contacting Merrill Lynch</w:t>
      </w:r>
    </w:p>
    <w:p>
      <w:pPr>
        <w:spacing w:after="0" w:line="140"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b w:val="1"/>
          <w:bCs w:val="1"/>
          <w:i w:val="1"/>
          <w:iCs w:val="1"/>
          <w:color w:val="auto"/>
        </w:rPr>
        <w:t xml:space="preserve">In the event of any discrepancy between the terms of the Plan and the Stock Option Overview, the terms of the Plan will govern. A copy of the official Polo Ralph Lauren Corporation 1997 Long-Term Stock Incentive Plan is available from your Human Resources department or you may log on to the intranet at </w:t>
      </w:r>
      <w:r>
        <w:rPr>
          <w:rFonts w:ascii="Arial" w:cs="Arial" w:eastAsia="Arial" w:hAnsi="Arial"/>
          <w:sz w:val="18"/>
          <w:szCs w:val="18"/>
          <w:b w:val="1"/>
          <w:bCs w:val="1"/>
          <w:i w:val="1"/>
          <w:iCs w:val="1"/>
          <w:u w:val="single" w:color="auto"/>
          <w:color w:val="auto"/>
        </w:rPr>
        <w:t>http://poloweb/HRWeb/Benefits</w:t>
      </w:r>
      <w:r>
        <w:rPr>
          <w:rFonts w:ascii="Arial" w:cs="Arial" w:eastAsia="Arial" w:hAnsi="Arial"/>
          <w:sz w:val="18"/>
          <w:szCs w:val="18"/>
          <w:b w:val="1"/>
          <w:bCs w:val="1"/>
          <w:i w:val="1"/>
          <w:iCs w:val="1"/>
          <w:color w:val="auto"/>
        </w:rPr>
        <w:t>.</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932"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21.1</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7500" w:type="dxa"/>
            <w:vAlign w:val="bottom"/>
            <w:gridSpan w:val="4"/>
          </w:tcPr>
          <w:p>
            <w:pPr>
              <w:ind w:left="320"/>
              <w:spacing w:after="0"/>
              <w:rPr>
                <w:sz w:val="20"/>
                <w:szCs w:val="20"/>
                <w:color w:val="auto"/>
              </w:rPr>
            </w:pPr>
            <w:r>
              <w:rPr>
                <w:rFonts w:ascii="Arial" w:cs="Arial" w:eastAsia="Arial" w:hAnsi="Arial"/>
                <w:sz w:val="18"/>
                <w:szCs w:val="18"/>
                <w:b w:val="1"/>
                <w:bCs w:val="1"/>
                <w:color w:val="auto"/>
              </w:rPr>
              <w:t>SUBSIDIARIES OF THE COMPANY</w:t>
            </w:r>
          </w:p>
        </w:tc>
      </w:tr>
      <w:tr>
        <w:trPr>
          <w:trHeight w:val="324"/>
        </w:trPr>
        <w:tc>
          <w:tcPr>
            <w:tcW w:w="20" w:type="dxa"/>
            <w:vAlign w:val="bottom"/>
          </w:tcPr>
          <w:p>
            <w:pPr>
              <w:spacing w:after="0"/>
              <w:rPr>
                <w:sz w:val="24"/>
                <w:szCs w:val="24"/>
                <w:color w:val="auto"/>
              </w:rPr>
            </w:pPr>
          </w:p>
        </w:tc>
        <w:tc>
          <w:tcPr>
            <w:tcW w:w="11400" w:type="dxa"/>
            <w:vAlign w:val="bottom"/>
            <w:gridSpan w:val="5"/>
          </w:tcPr>
          <w:p>
            <w:pPr>
              <w:ind w:left="240"/>
              <w:spacing w:after="0"/>
              <w:rPr>
                <w:sz w:val="20"/>
                <w:szCs w:val="20"/>
                <w:color w:val="auto"/>
              </w:rPr>
            </w:pPr>
            <w:r>
              <w:rPr>
                <w:rFonts w:ascii="Arial" w:cs="Arial" w:eastAsia="Arial" w:hAnsi="Arial"/>
                <w:sz w:val="18"/>
                <w:szCs w:val="18"/>
                <w:color w:val="auto"/>
              </w:rPr>
              <w:t>All subsidiaries are 100 percent owned, directly or indirectly, by the Company unless otherwise indicated.</w:t>
            </w:r>
          </w:p>
        </w:tc>
      </w:tr>
      <w:tr>
        <w:trPr>
          <w:trHeight w:val="277"/>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2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0" w:type="dxa"/>
            <w:vAlign w:val="bottom"/>
            <w:gridSpan w:val="2"/>
          </w:tcPr>
          <w:p>
            <w:pPr>
              <w:ind w:left="600"/>
              <w:spacing w:after="0"/>
              <w:rPr>
                <w:sz w:val="20"/>
                <w:szCs w:val="20"/>
                <w:color w:val="auto"/>
              </w:rPr>
            </w:pPr>
            <w:r>
              <w:rPr>
                <w:rFonts w:ascii="Arial" w:cs="Arial" w:eastAsia="Arial" w:hAnsi="Arial"/>
                <w:sz w:val="14"/>
                <w:szCs w:val="14"/>
                <w:b w:val="1"/>
                <w:bCs w:val="1"/>
                <w:color w:val="auto"/>
              </w:rPr>
              <w:t>Jurisdiction of Formation</w:t>
            </w:r>
          </w:p>
        </w:tc>
      </w:tr>
      <w:tr>
        <w:trPr>
          <w:trHeight w:val="216"/>
        </w:trPr>
        <w:tc>
          <w:tcPr>
            <w:tcW w:w="20" w:type="dxa"/>
            <w:vAlign w:val="bottom"/>
          </w:tcPr>
          <w:p>
            <w:pPr>
              <w:spacing w:after="0"/>
              <w:rPr>
                <w:sz w:val="18"/>
                <w:szCs w:val="18"/>
                <w:color w:val="auto"/>
              </w:rPr>
            </w:pPr>
          </w:p>
        </w:tc>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The Ralph Lauren Catalog Company, Inc.</w:t>
            </w:r>
          </w:p>
        </w:tc>
        <w:tc>
          <w:tcPr>
            <w:tcW w:w="29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Delaware</w:t>
            </w:r>
          </w:p>
        </w:tc>
        <w:tc>
          <w:tcPr>
            <w:tcW w:w="14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Polo Wings II, Inc.</w:t>
            </w:r>
          </w:p>
        </w:tc>
        <w:tc>
          <w:tcPr>
            <w:tcW w:w="2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0" w:type="dxa"/>
            <w:vAlign w:val="bottom"/>
            <w:gridSpan w:val="2"/>
          </w:tcPr>
          <w:p>
            <w:pPr>
              <w:jc w:val="right"/>
              <w:ind w:right="14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The Polo Lauren Company, LP</w:t>
            </w:r>
          </w:p>
        </w:tc>
        <w:tc>
          <w:tcPr>
            <w:tcW w:w="2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New York</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Polo Ralph Lauren UK Limited</w:t>
            </w:r>
          </w:p>
        </w:tc>
        <w:tc>
          <w:tcPr>
            <w:tcW w:w="2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0" w:type="dxa"/>
            <w:vAlign w:val="bottom"/>
            <w:gridSpan w:val="2"/>
          </w:tcPr>
          <w:p>
            <w:pPr>
              <w:jc w:val="right"/>
              <w:ind w:right="1400"/>
              <w:spacing w:after="0"/>
              <w:rPr>
                <w:sz w:val="20"/>
                <w:szCs w:val="20"/>
                <w:color w:val="auto"/>
              </w:rPr>
            </w:pPr>
            <w:r>
              <w:rPr>
                <w:rFonts w:ascii="Arial" w:cs="Arial" w:eastAsia="Arial" w:hAnsi="Arial"/>
                <w:sz w:val="18"/>
                <w:szCs w:val="18"/>
                <w:color w:val="auto"/>
              </w:rPr>
              <w:t>United Kingdom</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Ralph Lauren Limited</w:t>
            </w:r>
          </w:p>
        </w:tc>
        <w:tc>
          <w:tcPr>
            <w:tcW w:w="2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United Kingdom</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L&amp;S (UK) Limited</w:t>
            </w:r>
          </w:p>
        </w:tc>
        <w:tc>
          <w:tcPr>
            <w:tcW w:w="2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0" w:type="dxa"/>
            <w:vAlign w:val="bottom"/>
            <w:gridSpan w:val="2"/>
          </w:tcPr>
          <w:p>
            <w:pPr>
              <w:jc w:val="right"/>
              <w:ind w:right="1400"/>
              <w:spacing w:after="0"/>
              <w:rPr>
                <w:sz w:val="20"/>
                <w:szCs w:val="20"/>
                <w:color w:val="auto"/>
              </w:rPr>
            </w:pPr>
            <w:r>
              <w:rPr>
                <w:rFonts w:ascii="Arial" w:cs="Arial" w:eastAsia="Arial" w:hAnsi="Arial"/>
                <w:sz w:val="18"/>
                <w:szCs w:val="18"/>
                <w:color w:val="auto"/>
              </w:rPr>
              <w:t>United Kingdom</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Polo Shirts (UK)</w:t>
            </w:r>
          </w:p>
        </w:tc>
        <w:tc>
          <w:tcPr>
            <w:tcW w:w="2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United Kingdom</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The RL Trading Company Ltd.</w:t>
            </w:r>
          </w:p>
        </w:tc>
        <w:tc>
          <w:tcPr>
            <w:tcW w:w="2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0" w:type="dxa"/>
            <w:vAlign w:val="bottom"/>
            <w:gridSpan w:val="2"/>
          </w:tcPr>
          <w:p>
            <w:pPr>
              <w:jc w:val="right"/>
              <w:ind w:right="1400"/>
              <w:spacing w:after="0"/>
              <w:rPr>
                <w:sz w:val="20"/>
                <w:szCs w:val="20"/>
                <w:color w:val="auto"/>
              </w:rPr>
            </w:pPr>
            <w:r>
              <w:rPr>
                <w:rFonts w:ascii="Arial" w:cs="Arial" w:eastAsia="Arial" w:hAnsi="Arial"/>
                <w:sz w:val="18"/>
                <w:szCs w:val="18"/>
                <w:color w:val="auto"/>
              </w:rPr>
              <w:t>United Kingdom</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Polo Ralph Lauren Sourcing Company, Ltd.</w:t>
            </w:r>
          </w:p>
        </w:tc>
        <w:tc>
          <w:tcPr>
            <w:tcW w:w="2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Hong Kong</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Polo Ralph Lauren Sourcing PTE, Ltd.</w:t>
            </w:r>
          </w:p>
        </w:tc>
        <w:tc>
          <w:tcPr>
            <w:tcW w:w="2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0" w:type="dxa"/>
            <w:vAlign w:val="bottom"/>
            <w:gridSpan w:val="2"/>
          </w:tcPr>
          <w:p>
            <w:pPr>
              <w:jc w:val="right"/>
              <w:ind w:right="1400"/>
              <w:spacing w:after="0"/>
              <w:rPr>
                <w:sz w:val="20"/>
                <w:szCs w:val="20"/>
                <w:color w:val="auto"/>
              </w:rPr>
            </w:pPr>
            <w:r>
              <w:rPr>
                <w:rFonts w:ascii="Arial" w:cs="Arial" w:eastAsia="Arial" w:hAnsi="Arial"/>
                <w:sz w:val="18"/>
                <w:szCs w:val="18"/>
                <w:color w:val="auto"/>
              </w:rPr>
              <w:t>Singapore</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Mountain Rose International, Ltd. (Hong Kong)</w:t>
            </w:r>
          </w:p>
        </w:tc>
        <w:tc>
          <w:tcPr>
            <w:tcW w:w="2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Hong Kong</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Rodeo Girls Productions, Inc.</w:t>
            </w:r>
          </w:p>
        </w:tc>
        <w:tc>
          <w:tcPr>
            <w:tcW w:w="2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0" w:type="dxa"/>
            <w:vAlign w:val="bottom"/>
            <w:gridSpan w:val="2"/>
          </w:tcPr>
          <w:p>
            <w:pPr>
              <w:jc w:val="right"/>
              <w:ind w:right="1400"/>
              <w:spacing w:after="0"/>
              <w:rPr>
                <w:sz w:val="20"/>
                <w:szCs w:val="20"/>
                <w:color w:val="auto"/>
              </w:rPr>
            </w:pPr>
            <w:r>
              <w:rPr>
                <w:rFonts w:ascii="Arial" w:cs="Arial" w:eastAsia="Arial" w:hAnsi="Arial"/>
                <w:sz w:val="18"/>
                <w:szCs w:val="18"/>
                <w:color w:val="auto"/>
              </w:rPr>
              <w:t>New York</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Mountain Rose (USA), LLC</w:t>
            </w:r>
          </w:p>
        </w:tc>
        <w:tc>
          <w:tcPr>
            <w:tcW w:w="2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Polo Ralph Lauren Womenswear, Inc.</w:t>
            </w:r>
          </w:p>
        </w:tc>
        <w:tc>
          <w:tcPr>
            <w:tcW w:w="2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0" w:type="dxa"/>
            <w:vAlign w:val="bottom"/>
            <w:gridSpan w:val="2"/>
          </w:tcPr>
          <w:p>
            <w:pPr>
              <w:jc w:val="right"/>
              <w:ind w:right="14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The Ralph Lauren Womenswear Company, L.P.</w:t>
            </w:r>
          </w:p>
        </w:tc>
        <w:tc>
          <w:tcPr>
            <w:tcW w:w="2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RLWW, Inc.</w:t>
            </w:r>
          </w:p>
        </w:tc>
        <w:tc>
          <w:tcPr>
            <w:tcW w:w="2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0" w:type="dxa"/>
            <w:vAlign w:val="bottom"/>
            <w:gridSpan w:val="2"/>
          </w:tcPr>
          <w:p>
            <w:pPr>
              <w:jc w:val="right"/>
              <w:ind w:right="14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R.L. Fashions of (Canada), Inc.</w:t>
            </w:r>
          </w:p>
        </w:tc>
        <w:tc>
          <w:tcPr>
            <w:tcW w:w="2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Canada</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PRL USA Holdings, Inc.</w:t>
            </w:r>
          </w:p>
        </w:tc>
        <w:tc>
          <w:tcPr>
            <w:tcW w:w="2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0" w:type="dxa"/>
            <w:vAlign w:val="bottom"/>
            <w:gridSpan w:val="2"/>
          </w:tcPr>
          <w:p>
            <w:pPr>
              <w:jc w:val="right"/>
              <w:ind w:right="14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PRL USA, Inc.</w:t>
            </w:r>
          </w:p>
        </w:tc>
        <w:tc>
          <w:tcPr>
            <w:tcW w:w="2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Ralph Lauren Home Collection, Inc.</w:t>
            </w:r>
          </w:p>
        </w:tc>
        <w:tc>
          <w:tcPr>
            <w:tcW w:w="2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0" w:type="dxa"/>
            <w:vAlign w:val="bottom"/>
            <w:gridSpan w:val="2"/>
          </w:tcPr>
          <w:p>
            <w:pPr>
              <w:jc w:val="right"/>
              <w:ind w:right="14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9"/>
              </w:rPr>
              <w:t>Ralph Lauren Home Products Development, LLC</w:t>
            </w:r>
          </w:p>
        </w:tc>
        <w:tc>
          <w:tcPr>
            <w:tcW w:w="2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Ralph Lauren Home Collection Showroom, LLC</w:t>
            </w:r>
          </w:p>
        </w:tc>
        <w:tc>
          <w:tcPr>
            <w:tcW w:w="2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0" w:type="dxa"/>
            <w:vAlign w:val="bottom"/>
            <w:gridSpan w:val="2"/>
          </w:tcPr>
          <w:p>
            <w:pPr>
              <w:jc w:val="right"/>
              <w:ind w:right="14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RL Fragrances, LLC</w:t>
            </w:r>
          </w:p>
        </w:tc>
        <w:tc>
          <w:tcPr>
            <w:tcW w:w="2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PRL Fashions, Inc.</w:t>
            </w:r>
          </w:p>
        </w:tc>
        <w:tc>
          <w:tcPr>
            <w:tcW w:w="2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0" w:type="dxa"/>
            <w:vAlign w:val="bottom"/>
            <w:gridSpan w:val="2"/>
          </w:tcPr>
          <w:p>
            <w:pPr>
              <w:jc w:val="right"/>
              <w:ind w:right="14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PRL International, Inc.</w:t>
            </w:r>
          </w:p>
        </w:tc>
        <w:tc>
          <w:tcPr>
            <w:tcW w:w="2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PRL Financial Corp.</w:t>
            </w:r>
          </w:p>
        </w:tc>
        <w:tc>
          <w:tcPr>
            <w:tcW w:w="2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0" w:type="dxa"/>
            <w:vAlign w:val="bottom"/>
            <w:gridSpan w:val="2"/>
          </w:tcPr>
          <w:p>
            <w:pPr>
              <w:jc w:val="right"/>
              <w:ind w:right="14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The Polo/ Lauren Company L.P. (New York)</w:t>
            </w:r>
          </w:p>
        </w:tc>
        <w:tc>
          <w:tcPr>
            <w:tcW w:w="2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New York</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Polo International Assignments Service Corp.</w:t>
            </w:r>
          </w:p>
        </w:tc>
        <w:tc>
          <w:tcPr>
            <w:tcW w:w="2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0" w:type="dxa"/>
            <w:vAlign w:val="bottom"/>
            <w:gridSpan w:val="2"/>
          </w:tcPr>
          <w:p>
            <w:pPr>
              <w:jc w:val="right"/>
              <w:ind w:right="14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Fashions Outlet of America, Inc.</w:t>
            </w:r>
          </w:p>
        </w:tc>
        <w:tc>
          <w:tcPr>
            <w:tcW w:w="2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Fashion Development Corp.</w:t>
            </w:r>
          </w:p>
        </w:tc>
        <w:tc>
          <w:tcPr>
            <w:tcW w:w="2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0" w:type="dxa"/>
            <w:vAlign w:val="bottom"/>
            <w:gridSpan w:val="2"/>
          </w:tcPr>
          <w:p>
            <w:pPr>
              <w:jc w:val="right"/>
              <w:ind w:right="14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FOA Management Ltd.</w:t>
            </w:r>
          </w:p>
        </w:tc>
        <w:tc>
          <w:tcPr>
            <w:tcW w:w="2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R.L. Fashions of Alabama, LLC</w:t>
            </w:r>
          </w:p>
        </w:tc>
        <w:tc>
          <w:tcPr>
            <w:tcW w:w="2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0" w:type="dxa"/>
            <w:vAlign w:val="bottom"/>
            <w:gridSpan w:val="2"/>
          </w:tcPr>
          <w:p>
            <w:pPr>
              <w:jc w:val="right"/>
              <w:ind w:right="14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Polo California, LLC</w:t>
            </w:r>
          </w:p>
        </w:tc>
        <w:tc>
          <w:tcPr>
            <w:tcW w:w="2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R.L. Fashions of Arizona, LLC</w:t>
            </w:r>
          </w:p>
        </w:tc>
        <w:tc>
          <w:tcPr>
            <w:tcW w:w="2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0" w:type="dxa"/>
            <w:vAlign w:val="bottom"/>
            <w:gridSpan w:val="2"/>
          </w:tcPr>
          <w:p>
            <w:pPr>
              <w:jc w:val="right"/>
              <w:ind w:right="14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R.L. Fashions of Cabazon CA, LLC</w:t>
            </w:r>
          </w:p>
        </w:tc>
        <w:tc>
          <w:tcPr>
            <w:tcW w:w="2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Polo Colorado, LLC</w:t>
            </w:r>
          </w:p>
        </w:tc>
        <w:tc>
          <w:tcPr>
            <w:tcW w:w="2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0" w:type="dxa"/>
            <w:vAlign w:val="bottom"/>
            <w:gridSpan w:val="2"/>
          </w:tcPr>
          <w:p>
            <w:pPr>
              <w:jc w:val="right"/>
              <w:ind w:right="14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R.L. Fashions of Connecticut, LLC</w:t>
            </w:r>
          </w:p>
        </w:tc>
        <w:tc>
          <w:tcPr>
            <w:tcW w:w="2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R.L. Fashions of Delaware, LLC</w:t>
            </w:r>
          </w:p>
        </w:tc>
        <w:tc>
          <w:tcPr>
            <w:tcW w:w="2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0" w:type="dxa"/>
            <w:vAlign w:val="bottom"/>
            <w:gridSpan w:val="2"/>
          </w:tcPr>
          <w:p>
            <w:pPr>
              <w:jc w:val="right"/>
              <w:ind w:right="14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Polo Florida, LLC</w:t>
            </w:r>
          </w:p>
        </w:tc>
        <w:tc>
          <w:tcPr>
            <w:tcW w:w="2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Fashions Outlet of Florida, LLC</w:t>
            </w:r>
          </w:p>
        </w:tc>
        <w:tc>
          <w:tcPr>
            <w:tcW w:w="2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0" w:type="dxa"/>
            <w:vAlign w:val="bottom"/>
            <w:gridSpan w:val="2"/>
          </w:tcPr>
          <w:p>
            <w:pPr>
              <w:jc w:val="right"/>
              <w:ind w:right="14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Polo Georgia, LLC</w:t>
            </w:r>
          </w:p>
        </w:tc>
        <w:tc>
          <w:tcPr>
            <w:tcW w:w="2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Polo Pennsylvania, LLC</w:t>
            </w:r>
          </w:p>
        </w:tc>
        <w:tc>
          <w:tcPr>
            <w:tcW w:w="2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0" w:type="dxa"/>
            <w:vAlign w:val="bottom"/>
            <w:gridSpan w:val="2"/>
          </w:tcPr>
          <w:p>
            <w:pPr>
              <w:jc w:val="right"/>
              <w:ind w:right="14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Polo Illinois, LLC</w:t>
            </w:r>
          </w:p>
        </w:tc>
        <w:tc>
          <w:tcPr>
            <w:tcW w:w="2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Delaware</w:t>
            </w:r>
          </w:p>
        </w:tc>
      </w:tr>
      <w:tr>
        <w:trPr>
          <w:trHeight w:val="226"/>
        </w:trPr>
        <w:tc>
          <w:tcPr>
            <w:tcW w:w="20" w:type="dxa"/>
            <w:vAlign w:val="bottom"/>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178"/>
        </w:trPr>
        <w:tc>
          <w:tcPr>
            <w:tcW w:w="728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320" w:type="dxa"/>
            <w:vAlign w:val="bottom"/>
          </w:tcPr>
          <w:p>
            <w:pPr>
              <w:spacing w:after="0"/>
              <w:rPr>
                <w:sz w:val="15"/>
                <w:szCs w:val="15"/>
                <w:color w:val="auto"/>
              </w:rPr>
            </w:pPr>
          </w:p>
        </w:tc>
        <w:tc>
          <w:tcPr>
            <w:tcW w:w="3820" w:type="dxa"/>
            <w:vAlign w:val="bottom"/>
            <w:gridSpan w:val="2"/>
          </w:tcPr>
          <w:p>
            <w:pPr>
              <w:ind w:left="380"/>
              <w:spacing w:after="0"/>
              <w:rPr>
                <w:sz w:val="20"/>
                <w:szCs w:val="20"/>
                <w:color w:val="auto"/>
              </w:rPr>
            </w:pPr>
            <w:r>
              <w:rPr>
                <w:rFonts w:ascii="Arial" w:cs="Arial" w:eastAsia="Arial" w:hAnsi="Arial"/>
                <w:sz w:val="14"/>
                <w:szCs w:val="14"/>
                <w:b w:val="1"/>
                <w:bCs w:val="1"/>
                <w:color w:val="auto"/>
              </w:rPr>
              <w:t>Jurisdiction of Formation</w:t>
            </w:r>
          </w:p>
        </w:tc>
      </w:tr>
      <w:tr>
        <w:trPr>
          <w:trHeight w:val="216"/>
        </w:trPr>
        <w:tc>
          <w:tcPr>
            <w:tcW w:w="20" w:type="dxa"/>
            <w:vAlign w:val="bottom"/>
          </w:tcPr>
          <w:p>
            <w:pPr>
              <w:spacing w:after="0"/>
              <w:rPr>
                <w:sz w:val="18"/>
                <w:szCs w:val="18"/>
                <w:color w:val="auto"/>
              </w:rPr>
            </w:pPr>
          </w:p>
        </w:tc>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R.L. Fashions of Indiana, LLC</w:t>
            </w:r>
          </w:p>
        </w:tc>
        <w:tc>
          <w:tcPr>
            <w:tcW w:w="320" w:type="dxa"/>
            <w:vAlign w:val="bottom"/>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Delaware</w:t>
            </w:r>
          </w:p>
        </w:tc>
        <w:tc>
          <w:tcPr>
            <w:tcW w:w="14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R.L. Fashions of Massachusetts, LLC</w:t>
            </w:r>
          </w:p>
        </w:tc>
        <w:tc>
          <w:tcPr>
            <w:tcW w:w="320" w:type="dxa"/>
            <w:vAlign w:val="bottom"/>
          </w:tcPr>
          <w:p>
            <w:pPr>
              <w:spacing w:after="0"/>
              <w:rPr>
                <w:sz w:val="18"/>
                <w:szCs w:val="18"/>
                <w:color w:val="auto"/>
              </w:rPr>
            </w:pPr>
          </w:p>
        </w:tc>
        <w:tc>
          <w:tcPr>
            <w:tcW w:w="3820" w:type="dxa"/>
            <w:vAlign w:val="bottom"/>
            <w:gridSpan w:val="2"/>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PRL Michigan, LLC</w:t>
            </w:r>
          </w:p>
        </w:tc>
        <w:tc>
          <w:tcPr>
            <w:tcW w:w="32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R.L. Fashions of Missouri, LLC</w:t>
            </w:r>
          </w:p>
        </w:tc>
        <w:tc>
          <w:tcPr>
            <w:tcW w:w="320" w:type="dxa"/>
            <w:vAlign w:val="bottom"/>
          </w:tcPr>
          <w:p>
            <w:pPr>
              <w:spacing w:after="0"/>
              <w:rPr>
                <w:sz w:val="18"/>
                <w:szCs w:val="18"/>
                <w:color w:val="auto"/>
              </w:rPr>
            </w:pPr>
          </w:p>
        </w:tc>
        <w:tc>
          <w:tcPr>
            <w:tcW w:w="3820" w:type="dxa"/>
            <w:vAlign w:val="bottom"/>
            <w:gridSpan w:val="2"/>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R.L. Fashions of Montana, Inc.</w:t>
            </w:r>
          </w:p>
        </w:tc>
        <w:tc>
          <w:tcPr>
            <w:tcW w:w="32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R.L. Fashions of Naples, LLC</w:t>
            </w:r>
          </w:p>
        </w:tc>
        <w:tc>
          <w:tcPr>
            <w:tcW w:w="320" w:type="dxa"/>
            <w:vAlign w:val="bottom"/>
          </w:tcPr>
          <w:p>
            <w:pPr>
              <w:spacing w:after="0"/>
              <w:rPr>
                <w:sz w:val="18"/>
                <w:szCs w:val="18"/>
                <w:color w:val="auto"/>
              </w:rPr>
            </w:pPr>
          </w:p>
        </w:tc>
        <w:tc>
          <w:tcPr>
            <w:tcW w:w="3820" w:type="dxa"/>
            <w:vAlign w:val="bottom"/>
            <w:gridSpan w:val="2"/>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R.L. Fashions of Nebraska</w:t>
            </w:r>
          </w:p>
        </w:tc>
        <w:tc>
          <w:tcPr>
            <w:tcW w:w="32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Polo Nevada LLC</w:t>
            </w:r>
          </w:p>
        </w:tc>
        <w:tc>
          <w:tcPr>
            <w:tcW w:w="320" w:type="dxa"/>
            <w:vAlign w:val="bottom"/>
          </w:tcPr>
          <w:p>
            <w:pPr>
              <w:spacing w:after="0"/>
              <w:rPr>
                <w:sz w:val="18"/>
                <w:szCs w:val="18"/>
                <w:color w:val="auto"/>
              </w:rPr>
            </w:pPr>
          </w:p>
        </w:tc>
        <w:tc>
          <w:tcPr>
            <w:tcW w:w="3820" w:type="dxa"/>
            <w:vAlign w:val="bottom"/>
            <w:gridSpan w:val="2"/>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R.L. Fashions of New Hampshire, LLC</w:t>
            </w:r>
          </w:p>
        </w:tc>
        <w:tc>
          <w:tcPr>
            <w:tcW w:w="32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National Polo Retailers, Inc.</w:t>
            </w:r>
          </w:p>
        </w:tc>
        <w:tc>
          <w:tcPr>
            <w:tcW w:w="320" w:type="dxa"/>
            <w:vAlign w:val="bottom"/>
          </w:tcPr>
          <w:p>
            <w:pPr>
              <w:spacing w:after="0"/>
              <w:rPr>
                <w:sz w:val="18"/>
                <w:szCs w:val="18"/>
                <w:color w:val="auto"/>
              </w:rPr>
            </w:pPr>
          </w:p>
        </w:tc>
        <w:tc>
          <w:tcPr>
            <w:tcW w:w="3820" w:type="dxa"/>
            <w:vAlign w:val="bottom"/>
            <w:gridSpan w:val="2"/>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R.L. Fashions of New York, LLC</w:t>
            </w:r>
          </w:p>
        </w:tc>
        <w:tc>
          <w:tcPr>
            <w:tcW w:w="32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R.L. Fashions of North Carolina, LLC</w:t>
            </w:r>
          </w:p>
        </w:tc>
        <w:tc>
          <w:tcPr>
            <w:tcW w:w="320" w:type="dxa"/>
            <w:vAlign w:val="bottom"/>
          </w:tcPr>
          <w:p>
            <w:pPr>
              <w:spacing w:after="0"/>
              <w:rPr>
                <w:sz w:val="18"/>
                <w:szCs w:val="18"/>
                <w:color w:val="auto"/>
              </w:rPr>
            </w:pPr>
          </w:p>
        </w:tc>
        <w:tc>
          <w:tcPr>
            <w:tcW w:w="3820" w:type="dxa"/>
            <w:vAlign w:val="bottom"/>
            <w:gridSpan w:val="2"/>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R.L. Fashions of Ohio, LLC</w:t>
            </w:r>
          </w:p>
        </w:tc>
        <w:tc>
          <w:tcPr>
            <w:tcW w:w="32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R.L. Fashions of Oregon, LLC</w:t>
            </w:r>
          </w:p>
        </w:tc>
        <w:tc>
          <w:tcPr>
            <w:tcW w:w="320" w:type="dxa"/>
            <w:vAlign w:val="bottom"/>
          </w:tcPr>
          <w:p>
            <w:pPr>
              <w:spacing w:after="0"/>
              <w:rPr>
                <w:sz w:val="18"/>
                <w:szCs w:val="18"/>
                <w:color w:val="auto"/>
              </w:rPr>
            </w:pPr>
          </w:p>
        </w:tc>
        <w:tc>
          <w:tcPr>
            <w:tcW w:w="3820" w:type="dxa"/>
            <w:vAlign w:val="bottom"/>
            <w:gridSpan w:val="2"/>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R.L. Fashions Tennessee, LLC</w:t>
            </w:r>
          </w:p>
        </w:tc>
        <w:tc>
          <w:tcPr>
            <w:tcW w:w="32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R.L. Fashions of Texas, Inc.</w:t>
            </w:r>
          </w:p>
        </w:tc>
        <w:tc>
          <w:tcPr>
            <w:tcW w:w="320" w:type="dxa"/>
            <w:vAlign w:val="bottom"/>
          </w:tcPr>
          <w:p>
            <w:pPr>
              <w:spacing w:after="0"/>
              <w:rPr>
                <w:sz w:val="18"/>
                <w:szCs w:val="18"/>
                <w:color w:val="auto"/>
              </w:rPr>
            </w:pPr>
          </w:p>
        </w:tc>
        <w:tc>
          <w:tcPr>
            <w:tcW w:w="3820" w:type="dxa"/>
            <w:vAlign w:val="bottom"/>
            <w:gridSpan w:val="2"/>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RLPR, Inc.</w:t>
            </w:r>
          </w:p>
        </w:tc>
        <w:tc>
          <w:tcPr>
            <w:tcW w:w="32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R.L. Fashions of South Carolina, LLC</w:t>
            </w:r>
          </w:p>
        </w:tc>
        <w:tc>
          <w:tcPr>
            <w:tcW w:w="320" w:type="dxa"/>
            <w:vAlign w:val="bottom"/>
          </w:tcPr>
          <w:p>
            <w:pPr>
              <w:spacing w:after="0"/>
              <w:rPr>
                <w:sz w:val="18"/>
                <w:szCs w:val="18"/>
                <w:color w:val="auto"/>
              </w:rPr>
            </w:pPr>
          </w:p>
        </w:tc>
        <w:tc>
          <w:tcPr>
            <w:tcW w:w="3820" w:type="dxa"/>
            <w:vAlign w:val="bottom"/>
            <w:gridSpan w:val="2"/>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R.L. Fashions of Utah, LLC</w:t>
            </w:r>
          </w:p>
        </w:tc>
        <w:tc>
          <w:tcPr>
            <w:tcW w:w="32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R.L. Fashions of Virginia, LLC</w:t>
            </w:r>
          </w:p>
        </w:tc>
        <w:tc>
          <w:tcPr>
            <w:tcW w:w="320" w:type="dxa"/>
            <w:vAlign w:val="bottom"/>
          </w:tcPr>
          <w:p>
            <w:pPr>
              <w:spacing w:after="0"/>
              <w:rPr>
                <w:sz w:val="18"/>
                <w:szCs w:val="18"/>
                <w:color w:val="auto"/>
              </w:rPr>
            </w:pPr>
          </w:p>
        </w:tc>
        <w:tc>
          <w:tcPr>
            <w:tcW w:w="3820" w:type="dxa"/>
            <w:vAlign w:val="bottom"/>
            <w:gridSpan w:val="2"/>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R.L. Fashions of West Virginia, LLC</w:t>
            </w:r>
          </w:p>
        </w:tc>
        <w:tc>
          <w:tcPr>
            <w:tcW w:w="32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R.L. Fashions of Wisconsin, Inc.</w:t>
            </w:r>
          </w:p>
        </w:tc>
        <w:tc>
          <w:tcPr>
            <w:tcW w:w="320" w:type="dxa"/>
            <w:vAlign w:val="bottom"/>
          </w:tcPr>
          <w:p>
            <w:pPr>
              <w:spacing w:after="0"/>
              <w:rPr>
                <w:sz w:val="18"/>
                <w:szCs w:val="18"/>
                <w:color w:val="auto"/>
              </w:rPr>
            </w:pPr>
          </w:p>
        </w:tc>
        <w:tc>
          <w:tcPr>
            <w:tcW w:w="3820" w:type="dxa"/>
            <w:vAlign w:val="bottom"/>
            <w:gridSpan w:val="2"/>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R.L. Fashions of Woolrich, PA., Inc.</w:t>
            </w:r>
          </w:p>
        </w:tc>
        <w:tc>
          <w:tcPr>
            <w:tcW w:w="32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R.L. Fashions of Wyoming, LLC</w:t>
            </w:r>
          </w:p>
        </w:tc>
        <w:tc>
          <w:tcPr>
            <w:tcW w:w="320" w:type="dxa"/>
            <w:vAlign w:val="bottom"/>
          </w:tcPr>
          <w:p>
            <w:pPr>
              <w:spacing w:after="0"/>
              <w:rPr>
                <w:sz w:val="18"/>
                <w:szCs w:val="18"/>
                <w:color w:val="auto"/>
              </w:rPr>
            </w:pPr>
          </w:p>
        </w:tc>
        <w:tc>
          <w:tcPr>
            <w:tcW w:w="3820" w:type="dxa"/>
            <w:vAlign w:val="bottom"/>
            <w:gridSpan w:val="2"/>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R.L. Fashions of Iowa, LLC</w:t>
            </w:r>
          </w:p>
        </w:tc>
        <w:tc>
          <w:tcPr>
            <w:tcW w:w="32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R.L. Fashions of Maine, LLC</w:t>
            </w:r>
          </w:p>
        </w:tc>
        <w:tc>
          <w:tcPr>
            <w:tcW w:w="320" w:type="dxa"/>
            <w:vAlign w:val="bottom"/>
          </w:tcPr>
          <w:p>
            <w:pPr>
              <w:spacing w:after="0"/>
              <w:rPr>
                <w:sz w:val="18"/>
                <w:szCs w:val="18"/>
                <w:color w:val="auto"/>
              </w:rPr>
            </w:pPr>
          </w:p>
        </w:tc>
        <w:tc>
          <w:tcPr>
            <w:tcW w:w="3820" w:type="dxa"/>
            <w:vAlign w:val="bottom"/>
            <w:gridSpan w:val="2"/>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R.L. Fashions of Maryland, LLC</w:t>
            </w:r>
          </w:p>
        </w:tc>
        <w:tc>
          <w:tcPr>
            <w:tcW w:w="32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R.L. Fashions of Minnesota, LLC</w:t>
            </w:r>
          </w:p>
        </w:tc>
        <w:tc>
          <w:tcPr>
            <w:tcW w:w="320" w:type="dxa"/>
            <w:vAlign w:val="bottom"/>
          </w:tcPr>
          <w:p>
            <w:pPr>
              <w:spacing w:after="0"/>
              <w:rPr>
                <w:sz w:val="18"/>
                <w:szCs w:val="18"/>
                <w:color w:val="auto"/>
              </w:rPr>
            </w:pPr>
          </w:p>
        </w:tc>
        <w:tc>
          <w:tcPr>
            <w:tcW w:w="3820" w:type="dxa"/>
            <w:vAlign w:val="bottom"/>
            <w:gridSpan w:val="2"/>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R.L. Fashions of Mississippi, LLC</w:t>
            </w:r>
          </w:p>
        </w:tc>
        <w:tc>
          <w:tcPr>
            <w:tcW w:w="32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R.L. Fashions of Vermont, LLC</w:t>
            </w:r>
          </w:p>
        </w:tc>
        <w:tc>
          <w:tcPr>
            <w:tcW w:w="320" w:type="dxa"/>
            <w:vAlign w:val="bottom"/>
          </w:tcPr>
          <w:p>
            <w:pPr>
              <w:spacing w:after="0"/>
              <w:rPr>
                <w:sz w:val="18"/>
                <w:szCs w:val="18"/>
                <w:color w:val="auto"/>
              </w:rPr>
            </w:pPr>
          </w:p>
        </w:tc>
        <w:tc>
          <w:tcPr>
            <w:tcW w:w="3820" w:type="dxa"/>
            <w:vAlign w:val="bottom"/>
            <w:gridSpan w:val="2"/>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R.L. Fashions of Wisconsin, LLC</w:t>
            </w:r>
          </w:p>
        </w:tc>
        <w:tc>
          <w:tcPr>
            <w:tcW w:w="32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R.L. Fashions of Washington, LLC</w:t>
            </w:r>
          </w:p>
        </w:tc>
        <w:tc>
          <w:tcPr>
            <w:tcW w:w="320" w:type="dxa"/>
            <w:vAlign w:val="bottom"/>
          </w:tcPr>
          <w:p>
            <w:pPr>
              <w:spacing w:after="0"/>
              <w:rPr>
                <w:sz w:val="18"/>
                <w:szCs w:val="18"/>
                <w:color w:val="auto"/>
              </w:rPr>
            </w:pPr>
          </w:p>
        </w:tc>
        <w:tc>
          <w:tcPr>
            <w:tcW w:w="3820" w:type="dxa"/>
            <w:vAlign w:val="bottom"/>
            <w:gridSpan w:val="2"/>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Polo New York, LLC</w:t>
            </w:r>
          </w:p>
        </w:tc>
        <w:tc>
          <w:tcPr>
            <w:tcW w:w="32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Polo Retail, LLC</w:t>
            </w:r>
          </w:p>
        </w:tc>
        <w:tc>
          <w:tcPr>
            <w:tcW w:w="320" w:type="dxa"/>
            <w:vAlign w:val="bottom"/>
          </w:tcPr>
          <w:p>
            <w:pPr>
              <w:spacing w:after="0"/>
              <w:rPr>
                <w:sz w:val="18"/>
                <w:szCs w:val="18"/>
                <w:color w:val="auto"/>
              </w:rPr>
            </w:pPr>
          </w:p>
        </w:tc>
        <w:tc>
          <w:tcPr>
            <w:tcW w:w="3820" w:type="dxa"/>
            <w:vAlign w:val="bottom"/>
            <w:gridSpan w:val="2"/>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Polo Soho, LLC</w:t>
            </w:r>
          </w:p>
        </w:tc>
        <w:tc>
          <w:tcPr>
            <w:tcW w:w="32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41 Jobs Lane, LLC</w:t>
            </w:r>
          </w:p>
        </w:tc>
        <w:tc>
          <w:tcPr>
            <w:tcW w:w="320" w:type="dxa"/>
            <w:vAlign w:val="bottom"/>
          </w:tcPr>
          <w:p>
            <w:pPr>
              <w:spacing w:after="0"/>
              <w:rPr>
                <w:sz w:val="18"/>
                <w:szCs w:val="18"/>
                <w:color w:val="auto"/>
              </w:rPr>
            </w:pPr>
          </w:p>
        </w:tc>
        <w:tc>
          <w:tcPr>
            <w:tcW w:w="3820" w:type="dxa"/>
            <w:vAlign w:val="bottom"/>
            <w:gridSpan w:val="2"/>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Polo Hawaii, LLC</w:t>
            </w:r>
          </w:p>
        </w:tc>
        <w:tc>
          <w:tcPr>
            <w:tcW w:w="32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Poloconn Retailers, Inc.</w:t>
            </w:r>
          </w:p>
        </w:tc>
        <w:tc>
          <w:tcPr>
            <w:tcW w:w="320" w:type="dxa"/>
            <w:vAlign w:val="bottom"/>
          </w:tcPr>
          <w:p>
            <w:pPr>
              <w:spacing w:after="0"/>
              <w:rPr>
                <w:sz w:val="18"/>
                <w:szCs w:val="18"/>
                <w:color w:val="auto"/>
              </w:rPr>
            </w:pPr>
          </w:p>
        </w:tc>
        <w:tc>
          <w:tcPr>
            <w:tcW w:w="3820" w:type="dxa"/>
            <w:vAlign w:val="bottom"/>
            <w:gridSpan w:val="2"/>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PRL Jeans Retail Concepts, LLC</w:t>
            </w:r>
          </w:p>
        </w:tc>
        <w:tc>
          <w:tcPr>
            <w:tcW w:w="32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PRL Restaurant Concepts of Illinois, LLC</w:t>
            </w:r>
          </w:p>
        </w:tc>
        <w:tc>
          <w:tcPr>
            <w:tcW w:w="320" w:type="dxa"/>
            <w:vAlign w:val="bottom"/>
          </w:tcPr>
          <w:p>
            <w:pPr>
              <w:spacing w:after="0"/>
              <w:rPr>
                <w:sz w:val="18"/>
                <w:szCs w:val="18"/>
                <w:color w:val="auto"/>
              </w:rPr>
            </w:pPr>
          </w:p>
        </w:tc>
        <w:tc>
          <w:tcPr>
            <w:tcW w:w="3820" w:type="dxa"/>
            <w:vAlign w:val="bottom"/>
            <w:gridSpan w:val="2"/>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Polo Rodeo Inc.</w:t>
            </w:r>
          </w:p>
        </w:tc>
        <w:tc>
          <w:tcPr>
            <w:tcW w:w="32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California</w:t>
            </w: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Colorado Retail, LLC</w:t>
            </w:r>
          </w:p>
        </w:tc>
        <w:tc>
          <w:tcPr>
            <w:tcW w:w="320" w:type="dxa"/>
            <w:vAlign w:val="bottom"/>
          </w:tcPr>
          <w:p>
            <w:pPr>
              <w:spacing w:after="0"/>
              <w:rPr>
                <w:sz w:val="18"/>
                <w:szCs w:val="18"/>
                <w:color w:val="auto"/>
              </w:rPr>
            </w:pPr>
          </w:p>
        </w:tc>
        <w:tc>
          <w:tcPr>
            <w:tcW w:w="3820" w:type="dxa"/>
            <w:vAlign w:val="bottom"/>
            <w:gridSpan w:val="2"/>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Consolidated Polo Retailers, Inc.</w:t>
            </w:r>
          </w:p>
        </w:tc>
        <w:tc>
          <w:tcPr>
            <w:tcW w:w="32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Polo DC, LLC</w:t>
            </w:r>
          </w:p>
        </w:tc>
        <w:tc>
          <w:tcPr>
            <w:tcW w:w="320" w:type="dxa"/>
            <w:vAlign w:val="bottom"/>
          </w:tcPr>
          <w:p>
            <w:pPr>
              <w:spacing w:after="0"/>
              <w:rPr>
                <w:sz w:val="18"/>
                <w:szCs w:val="18"/>
                <w:color w:val="auto"/>
              </w:rPr>
            </w:pPr>
          </w:p>
        </w:tc>
        <w:tc>
          <w:tcPr>
            <w:tcW w:w="3820" w:type="dxa"/>
            <w:vAlign w:val="bottom"/>
            <w:gridSpan w:val="2"/>
          </w:tcPr>
          <w:p>
            <w:pPr>
              <w:jc w:val="right"/>
              <w:ind w:right="148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Perkins Shearer Pacifica Ltd.</w:t>
            </w:r>
          </w:p>
        </w:tc>
        <w:tc>
          <w:tcPr>
            <w:tcW w:w="3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Perkins Shearer Pennsylvania, Inc.</w:t>
            </w:r>
          </w:p>
        </w:tc>
        <w:tc>
          <w:tcPr>
            <w:tcW w:w="320" w:type="dxa"/>
            <w:vAlign w:val="bottom"/>
          </w:tcPr>
          <w:p>
            <w:pPr>
              <w:spacing w:after="0"/>
              <w:rPr>
                <w:sz w:val="18"/>
                <w:szCs w:val="18"/>
                <w:color w:val="auto"/>
              </w:rPr>
            </w:pPr>
          </w:p>
        </w:tc>
        <w:tc>
          <w:tcPr>
            <w:tcW w:w="3820" w:type="dxa"/>
            <w:vAlign w:val="bottom"/>
            <w:gridSpan w:val="2"/>
          </w:tcPr>
          <w:p>
            <w:pPr>
              <w:jc w:val="right"/>
              <w:ind w:right="1480"/>
              <w:spacing w:after="0"/>
              <w:rPr>
                <w:sz w:val="20"/>
                <w:szCs w:val="20"/>
                <w:color w:val="auto"/>
              </w:rPr>
            </w:pPr>
            <w:r>
              <w:rPr>
                <w:rFonts w:ascii="Arial" w:cs="Arial" w:eastAsia="Arial" w:hAnsi="Arial"/>
                <w:sz w:val="18"/>
                <w:szCs w:val="18"/>
                <w:color w:val="auto"/>
              </w:rPr>
              <w:t>Colorado</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Philadelphia Polo, Ltd., Joint Venture</w:t>
            </w:r>
          </w:p>
        </w:tc>
        <w:tc>
          <w:tcPr>
            <w:tcW w:w="32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Colorado</w:t>
            </w:r>
          </w:p>
        </w:tc>
      </w:tr>
      <w:tr>
        <w:trPr>
          <w:trHeight w:val="230"/>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Polo Cherry Creek, LLC</w:t>
            </w:r>
          </w:p>
        </w:tc>
        <w:tc>
          <w:tcPr>
            <w:tcW w:w="320" w:type="dxa"/>
            <w:vAlign w:val="bottom"/>
          </w:tcPr>
          <w:p>
            <w:pPr>
              <w:spacing w:after="0"/>
              <w:rPr>
                <w:sz w:val="20"/>
                <w:szCs w:val="20"/>
                <w:color w:val="auto"/>
              </w:rPr>
            </w:pPr>
          </w:p>
        </w:tc>
        <w:tc>
          <w:tcPr>
            <w:tcW w:w="3820" w:type="dxa"/>
            <w:vAlign w:val="bottom"/>
            <w:gridSpan w:val="2"/>
          </w:tcPr>
          <w:p>
            <w:pPr>
              <w:jc w:val="right"/>
              <w:ind w:right="1480"/>
              <w:spacing w:after="0"/>
              <w:rPr>
                <w:sz w:val="20"/>
                <w:szCs w:val="20"/>
                <w:color w:val="auto"/>
              </w:rPr>
            </w:pPr>
            <w:r>
              <w:rPr>
                <w:rFonts w:ascii="Arial" w:cs="Arial" w:eastAsia="Arial" w:hAnsi="Arial"/>
                <w:sz w:val="18"/>
                <w:szCs w:val="18"/>
                <w:color w:val="auto"/>
              </w:rPr>
              <w:t>Delaware</w:t>
            </w:r>
          </w:p>
        </w:tc>
      </w:tr>
      <w:tr>
        <w:trPr>
          <w:trHeight w:val="212"/>
        </w:trPr>
        <w:tc>
          <w:tcPr>
            <w:tcW w:w="20" w:type="dxa"/>
            <w:vAlign w:val="bottom"/>
            <w:tcBorders>
              <w:bottom w:val="single" w:sz="8" w:color="808080"/>
            </w:tcBorders>
          </w:tcPr>
          <w:p>
            <w:pPr>
              <w:spacing w:after="0"/>
              <w:rPr>
                <w:sz w:val="18"/>
                <w:szCs w:val="18"/>
                <w:color w:val="auto"/>
              </w:rPr>
            </w:pPr>
          </w:p>
        </w:tc>
        <w:tc>
          <w:tcPr>
            <w:tcW w:w="726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2340" w:type="dxa"/>
            <w:vAlign w:val="bottom"/>
            <w:tcBorders>
              <w:bottom w:val="single" w:sz="8" w:color="808080"/>
            </w:tcBorders>
          </w:tcPr>
          <w:p>
            <w:pPr>
              <w:spacing w:after="0"/>
              <w:rPr>
                <w:sz w:val="18"/>
                <w:szCs w:val="18"/>
                <w:color w:val="auto"/>
              </w:rPr>
            </w:pPr>
          </w:p>
        </w:tc>
        <w:tc>
          <w:tcPr>
            <w:tcW w:w="14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178"/>
        </w:trPr>
        <w:tc>
          <w:tcPr>
            <w:tcW w:w="672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300" w:type="dxa"/>
            <w:vAlign w:val="bottom"/>
          </w:tcPr>
          <w:p>
            <w:pPr>
              <w:spacing w:after="0"/>
              <w:rPr>
                <w:sz w:val="15"/>
                <w:szCs w:val="15"/>
                <w:color w:val="auto"/>
              </w:rPr>
            </w:pPr>
          </w:p>
        </w:tc>
        <w:tc>
          <w:tcPr>
            <w:tcW w:w="4400" w:type="dxa"/>
            <w:vAlign w:val="bottom"/>
            <w:gridSpan w:val="2"/>
          </w:tcPr>
          <w:p>
            <w:pPr>
              <w:ind w:left="720"/>
              <w:spacing w:after="0"/>
              <w:rPr>
                <w:sz w:val="20"/>
                <w:szCs w:val="20"/>
                <w:color w:val="auto"/>
              </w:rPr>
            </w:pPr>
            <w:r>
              <w:rPr>
                <w:rFonts w:ascii="Arial" w:cs="Arial" w:eastAsia="Arial" w:hAnsi="Arial"/>
                <w:sz w:val="14"/>
                <w:szCs w:val="14"/>
                <w:b w:val="1"/>
                <w:bCs w:val="1"/>
                <w:color w:val="auto"/>
              </w:rPr>
              <w:t>Jurisdiction of Formation</w:t>
            </w:r>
          </w:p>
        </w:tc>
      </w:tr>
      <w:tr>
        <w:trPr>
          <w:trHeight w:val="216"/>
        </w:trPr>
        <w:tc>
          <w:tcPr>
            <w:tcW w:w="20" w:type="dxa"/>
            <w:vAlign w:val="bottom"/>
          </w:tcPr>
          <w:p>
            <w:pPr>
              <w:spacing w:after="0"/>
              <w:rPr>
                <w:sz w:val="18"/>
                <w:szCs w:val="18"/>
                <w:color w:val="auto"/>
              </w:rPr>
            </w:pPr>
          </w:p>
        </w:tc>
        <w:tc>
          <w:tcPr>
            <w:tcW w:w="6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Western Polo Retailers, LLC</w:t>
            </w:r>
          </w:p>
        </w:tc>
        <w:tc>
          <w:tcPr>
            <w:tcW w:w="300" w:type="dxa"/>
            <w:vAlign w:val="bottom"/>
            <w:shd w:val="clear" w:color="auto" w:fill="CCEEFF"/>
          </w:tcPr>
          <w:p>
            <w:pPr>
              <w:spacing w:after="0"/>
              <w:rPr>
                <w:sz w:val="18"/>
                <w:szCs w:val="18"/>
                <w:color w:val="auto"/>
              </w:rPr>
            </w:pPr>
          </w:p>
        </w:tc>
        <w:tc>
          <w:tcPr>
            <w:tcW w:w="3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Delaware</w:t>
            </w:r>
          </w:p>
        </w:tc>
        <w:tc>
          <w:tcPr>
            <w:tcW w:w="13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WSH, LLC</w:t>
            </w:r>
          </w:p>
        </w:tc>
        <w:tc>
          <w:tcPr>
            <w:tcW w:w="300" w:type="dxa"/>
            <w:vAlign w:val="bottom"/>
          </w:tcPr>
          <w:p>
            <w:pPr>
              <w:spacing w:after="0"/>
              <w:rPr>
                <w:sz w:val="18"/>
                <w:szCs w:val="18"/>
                <w:color w:val="auto"/>
              </w:rPr>
            </w:pPr>
          </w:p>
        </w:tc>
        <w:tc>
          <w:tcPr>
            <w:tcW w:w="4400" w:type="dxa"/>
            <w:vAlign w:val="bottom"/>
            <w:gridSpan w:val="2"/>
          </w:tcPr>
          <w:p>
            <w:pPr>
              <w:jc w:val="right"/>
              <w:ind w:right="13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PRLCMI, LLC</w:t>
            </w:r>
          </w:p>
        </w:tc>
        <w:tc>
          <w:tcPr>
            <w:tcW w:w="30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Polo Ralph Lauren Japan Corp.</w:t>
            </w:r>
          </w:p>
        </w:tc>
        <w:tc>
          <w:tcPr>
            <w:tcW w:w="300" w:type="dxa"/>
            <w:vAlign w:val="bottom"/>
          </w:tcPr>
          <w:p>
            <w:pPr>
              <w:spacing w:after="0"/>
              <w:rPr>
                <w:sz w:val="18"/>
                <w:szCs w:val="18"/>
                <w:color w:val="auto"/>
              </w:rPr>
            </w:pPr>
          </w:p>
        </w:tc>
        <w:tc>
          <w:tcPr>
            <w:tcW w:w="4400" w:type="dxa"/>
            <w:vAlign w:val="bottom"/>
            <w:gridSpan w:val="2"/>
          </w:tcPr>
          <w:p>
            <w:pPr>
              <w:jc w:val="right"/>
              <w:ind w:right="1360"/>
              <w:spacing w:after="0"/>
              <w:rPr>
                <w:sz w:val="20"/>
                <w:szCs w:val="20"/>
                <w:color w:val="auto"/>
              </w:rPr>
            </w:pPr>
            <w:r>
              <w:rPr>
                <w:rFonts w:ascii="Arial" w:cs="Arial" w:eastAsia="Arial" w:hAnsi="Arial"/>
                <w:sz w:val="18"/>
                <w:szCs w:val="18"/>
                <w:color w:val="auto"/>
              </w:rPr>
              <w:t>Japan</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Club Monaco Corp. (Nova Scotia)</w:t>
            </w:r>
          </w:p>
        </w:tc>
        <w:tc>
          <w:tcPr>
            <w:tcW w:w="30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Nova Scotia</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Club Monaco U.S., LLC</w:t>
            </w:r>
          </w:p>
        </w:tc>
        <w:tc>
          <w:tcPr>
            <w:tcW w:w="300" w:type="dxa"/>
            <w:vAlign w:val="bottom"/>
          </w:tcPr>
          <w:p>
            <w:pPr>
              <w:spacing w:after="0"/>
              <w:rPr>
                <w:sz w:val="18"/>
                <w:szCs w:val="18"/>
                <w:color w:val="auto"/>
              </w:rPr>
            </w:pPr>
          </w:p>
        </w:tc>
        <w:tc>
          <w:tcPr>
            <w:tcW w:w="4400" w:type="dxa"/>
            <w:vAlign w:val="bottom"/>
            <w:gridSpan w:val="2"/>
          </w:tcPr>
          <w:p>
            <w:pPr>
              <w:jc w:val="right"/>
              <w:ind w:right="13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Club Monaco (Hong Kong) Limited</w:t>
            </w:r>
          </w:p>
        </w:tc>
        <w:tc>
          <w:tcPr>
            <w:tcW w:w="30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Hong Kong</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Club Monaco Europe Limited (UK)</w:t>
            </w:r>
          </w:p>
        </w:tc>
        <w:tc>
          <w:tcPr>
            <w:tcW w:w="300" w:type="dxa"/>
            <w:vAlign w:val="bottom"/>
          </w:tcPr>
          <w:p>
            <w:pPr>
              <w:spacing w:after="0"/>
              <w:rPr>
                <w:sz w:val="18"/>
                <w:szCs w:val="18"/>
                <w:color w:val="auto"/>
              </w:rPr>
            </w:pPr>
          </w:p>
        </w:tc>
        <w:tc>
          <w:tcPr>
            <w:tcW w:w="4400" w:type="dxa"/>
            <w:vAlign w:val="bottom"/>
            <w:gridSpan w:val="2"/>
          </w:tcPr>
          <w:p>
            <w:pPr>
              <w:jc w:val="right"/>
              <w:ind w:right="1360"/>
              <w:spacing w:after="0"/>
              <w:rPr>
                <w:sz w:val="20"/>
                <w:szCs w:val="20"/>
                <w:color w:val="auto"/>
              </w:rPr>
            </w:pPr>
            <w:r>
              <w:rPr>
                <w:rFonts w:ascii="Arial" w:cs="Arial" w:eastAsia="Arial" w:hAnsi="Arial"/>
                <w:sz w:val="18"/>
                <w:szCs w:val="18"/>
                <w:color w:val="auto"/>
              </w:rPr>
              <w:t>United Kingdom</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Club Monaco S.A.M. (Monagescue)</w:t>
            </w:r>
          </w:p>
        </w:tc>
        <w:tc>
          <w:tcPr>
            <w:tcW w:w="30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Principality of Monaco</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Poloco USA, Inc. (US)</w:t>
            </w:r>
          </w:p>
        </w:tc>
        <w:tc>
          <w:tcPr>
            <w:tcW w:w="300" w:type="dxa"/>
            <w:vAlign w:val="bottom"/>
          </w:tcPr>
          <w:p>
            <w:pPr>
              <w:spacing w:after="0"/>
              <w:rPr>
                <w:sz w:val="18"/>
                <w:szCs w:val="18"/>
                <w:color w:val="auto"/>
              </w:rPr>
            </w:pPr>
          </w:p>
        </w:tc>
        <w:tc>
          <w:tcPr>
            <w:tcW w:w="4400" w:type="dxa"/>
            <w:vAlign w:val="bottom"/>
            <w:gridSpan w:val="2"/>
          </w:tcPr>
          <w:p>
            <w:pPr>
              <w:jc w:val="right"/>
              <w:ind w:right="13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PRL Trans Atlantic, Inc. (US)</w:t>
            </w:r>
          </w:p>
        </w:tc>
        <w:tc>
          <w:tcPr>
            <w:tcW w:w="30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PRL European Enterprises, Inc. (US)</w:t>
            </w:r>
          </w:p>
        </w:tc>
        <w:tc>
          <w:tcPr>
            <w:tcW w:w="300" w:type="dxa"/>
            <w:vAlign w:val="bottom"/>
          </w:tcPr>
          <w:p>
            <w:pPr>
              <w:spacing w:after="0"/>
              <w:rPr>
                <w:sz w:val="18"/>
                <w:szCs w:val="18"/>
                <w:color w:val="auto"/>
              </w:rPr>
            </w:pPr>
          </w:p>
        </w:tc>
        <w:tc>
          <w:tcPr>
            <w:tcW w:w="4400" w:type="dxa"/>
            <w:vAlign w:val="bottom"/>
            <w:gridSpan w:val="2"/>
          </w:tcPr>
          <w:p>
            <w:pPr>
              <w:jc w:val="right"/>
              <w:ind w:right="13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Acqui Polo CV (Netherlands)</w:t>
            </w:r>
          </w:p>
        </w:tc>
        <w:tc>
          <w:tcPr>
            <w:tcW w:w="30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Netherlands</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Polo Hold BV (Netherlands)</w:t>
            </w:r>
          </w:p>
        </w:tc>
        <w:tc>
          <w:tcPr>
            <w:tcW w:w="300" w:type="dxa"/>
            <w:vAlign w:val="bottom"/>
          </w:tcPr>
          <w:p>
            <w:pPr>
              <w:spacing w:after="0"/>
              <w:rPr>
                <w:sz w:val="18"/>
                <w:szCs w:val="18"/>
                <w:color w:val="auto"/>
              </w:rPr>
            </w:pPr>
          </w:p>
        </w:tc>
        <w:tc>
          <w:tcPr>
            <w:tcW w:w="4400" w:type="dxa"/>
            <w:vAlign w:val="bottom"/>
            <w:gridSpan w:val="2"/>
          </w:tcPr>
          <w:p>
            <w:pPr>
              <w:jc w:val="right"/>
              <w:ind w:right="1360"/>
              <w:spacing w:after="0"/>
              <w:rPr>
                <w:sz w:val="20"/>
                <w:szCs w:val="20"/>
                <w:color w:val="auto"/>
              </w:rPr>
            </w:pPr>
            <w:r>
              <w:rPr>
                <w:rFonts w:ascii="Arial" w:cs="Arial" w:eastAsia="Arial" w:hAnsi="Arial"/>
                <w:sz w:val="18"/>
                <w:szCs w:val="18"/>
                <w:color w:val="auto"/>
              </w:rPr>
              <w:t>Netherlands</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Acqui Polo Espana (Spain)</w:t>
            </w:r>
          </w:p>
        </w:tc>
        <w:tc>
          <w:tcPr>
            <w:tcW w:w="30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Spain</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Poloco Espana SA (Spain)</w:t>
            </w:r>
          </w:p>
        </w:tc>
        <w:tc>
          <w:tcPr>
            <w:tcW w:w="300" w:type="dxa"/>
            <w:vAlign w:val="bottom"/>
          </w:tcPr>
          <w:p>
            <w:pPr>
              <w:spacing w:after="0"/>
              <w:rPr>
                <w:sz w:val="18"/>
                <w:szCs w:val="18"/>
                <w:color w:val="auto"/>
              </w:rPr>
            </w:pPr>
          </w:p>
        </w:tc>
        <w:tc>
          <w:tcPr>
            <w:tcW w:w="4400" w:type="dxa"/>
            <w:vAlign w:val="bottom"/>
            <w:gridSpan w:val="2"/>
          </w:tcPr>
          <w:p>
            <w:pPr>
              <w:jc w:val="right"/>
              <w:ind w:right="1360"/>
              <w:spacing w:after="0"/>
              <w:rPr>
                <w:sz w:val="20"/>
                <w:szCs w:val="20"/>
                <w:color w:val="auto"/>
              </w:rPr>
            </w:pPr>
            <w:r>
              <w:rPr>
                <w:rFonts w:ascii="Arial" w:cs="Arial" w:eastAsia="Arial" w:hAnsi="Arial"/>
                <w:sz w:val="18"/>
                <w:szCs w:val="18"/>
                <w:color w:val="auto"/>
              </w:rPr>
              <w:t>Spain</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Acqui Polo SAS (France)</w:t>
            </w:r>
          </w:p>
        </w:tc>
        <w:tc>
          <w:tcPr>
            <w:tcW w:w="30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France</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Poloco SAS (France)</w:t>
            </w:r>
          </w:p>
        </w:tc>
        <w:tc>
          <w:tcPr>
            <w:tcW w:w="300" w:type="dxa"/>
            <w:vAlign w:val="bottom"/>
          </w:tcPr>
          <w:p>
            <w:pPr>
              <w:spacing w:after="0"/>
              <w:rPr>
                <w:sz w:val="18"/>
                <w:szCs w:val="18"/>
                <w:color w:val="auto"/>
              </w:rPr>
            </w:pPr>
          </w:p>
        </w:tc>
        <w:tc>
          <w:tcPr>
            <w:tcW w:w="4400" w:type="dxa"/>
            <w:vAlign w:val="bottom"/>
            <w:gridSpan w:val="2"/>
          </w:tcPr>
          <w:p>
            <w:pPr>
              <w:jc w:val="right"/>
              <w:ind w:right="1360"/>
              <w:spacing w:after="0"/>
              <w:rPr>
                <w:sz w:val="20"/>
                <w:szCs w:val="20"/>
                <w:color w:val="auto"/>
              </w:rPr>
            </w:pPr>
            <w:r>
              <w:rPr>
                <w:rFonts w:ascii="Arial" w:cs="Arial" w:eastAsia="Arial" w:hAnsi="Arial"/>
                <w:sz w:val="18"/>
                <w:szCs w:val="18"/>
                <w:color w:val="auto"/>
              </w:rPr>
              <w:t>France</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Polo Moden Gmbh (Germany)</w:t>
            </w:r>
          </w:p>
        </w:tc>
        <w:tc>
          <w:tcPr>
            <w:tcW w:w="30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Germany</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Polo Scandinavia AB (Sweden)</w:t>
            </w:r>
          </w:p>
        </w:tc>
        <w:tc>
          <w:tcPr>
            <w:tcW w:w="300" w:type="dxa"/>
            <w:vAlign w:val="bottom"/>
          </w:tcPr>
          <w:p>
            <w:pPr>
              <w:spacing w:after="0"/>
              <w:rPr>
                <w:sz w:val="18"/>
                <w:szCs w:val="18"/>
                <w:color w:val="auto"/>
              </w:rPr>
            </w:pPr>
          </w:p>
        </w:tc>
        <w:tc>
          <w:tcPr>
            <w:tcW w:w="4400" w:type="dxa"/>
            <w:vAlign w:val="bottom"/>
            <w:gridSpan w:val="2"/>
          </w:tcPr>
          <w:p>
            <w:pPr>
              <w:jc w:val="right"/>
              <w:ind w:right="1360"/>
              <w:spacing w:after="0"/>
              <w:rPr>
                <w:sz w:val="20"/>
                <w:szCs w:val="20"/>
                <w:color w:val="auto"/>
              </w:rPr>
            </w:pPr>
            <w:r>
              <w:rPr>
                <w:rFonts w:ascii="Arial" w:cs="Arial" w:eastAsia="Arial" w:hAnsi="Arial"/>
                <w:sz w:val="18"/>
                <w:szCs w:val="18"/>
                <w:color w:val="auto"/>
              </w:rPr>
              <w:t>Sweden</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PRL Textil Gmbh (Austria)</w:t>
            </w:r>
          </w:p>
        </w:tc>
        <w:tc>
          <w:tcPr>
            <w:tcW w:w="30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Austria</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PFO Retail Management SAS (France)</w:t>
            </w:r>
          </w:p>
        </w:tc>
        <w:tc>
          <w:tcPr>
            <w:tcW w:w="300" w:type="dxa"/>
            <w:vAlign w:val="bottom"/>
          </w:tcPr>
          <w:p>
            <w:pPr>
              <w:spacing w:after="0"/>
              <w:rPr>
                <w:sz w:val="18"/>
                <w:szCs w:val="18"/>
                <w:color w:val="auto"/>
              </w:rPr>
            </w:pPr>
          </w:p>
        </w:tc>
        <w:tc>
          <w:tcPr>
            <w:tcW w:w="4400" w:type="dxa"/>
            <w:vAlign w:val="bottom"/>
            <w:gridSpan w:val="2"/>
          </w:tcPr>
          <w:p>
            <w:pPr>
              <w:jc w:val="right"/>
              <w:ind w:right="1360"/>
              <w:spacing w:after="0"/>
              <w:rPr>
                <w:sz w:val="20"/>
                <w:szCs w:val="20"/>
                <w:color w:val="auto"/>
              </w:rPr>
            </w:pPr>
            <w:r>
              <w:rPr>
                <w:rFonts w:ascii="Arial" w:cs="Arial" w:eastAsia="Arial" w:hAnsi="Arial"/>
                <w:sz w:val="18"/>
                <w:szCs w:val="18"/>
                <w:color w:val="auto"/>
              </w:rPr>
              <w:t>France</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Poloco Belgium S.p.r.l. (Belgium)</w:t>
            </w:r>
          </w:p>
        </w:tc>
        <w:tc>
          <w:tcPr>
            <w:tcW w:w="30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Belgium</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PRL Fashions of Europe S.r.l. (Italy)</w:t>
            </w:r>
          </w:p>
        </w:tc>
        <w:tc>
          <w:tcPr>
            <w:tcW w:w="300" w:type="dxa"/>
            <w:vAlign w:val="bottom"/>
          </w:tcPr>
          <w:p>
            <w:pPr>
              <w:spacing w:after="0"/>
              <w:rPr>
                <w:sz w:val="18"/>
                <w:szCs w:val="18"/>
                <w:color w:val="auto"/>
              </w:rPr>
            </w:pPr>
          </w:p>
        </w:tc>
        <w:tc>
          <w:tcPr>
            <w:tcW w:w="4400" w:type="dxa"/>
            <w:vAlign w:val="bottom"/>
            <w:gridSpan w:val="2"/>
          </w:tcPr>
          <w:p>
            <w:pPr>
              <w:jc w:val="right"/>
              <w:ind w:right="1360"/>
              <w:spacing w:after="0"/>
              <w:rPr>
                <w:sz w:val="20"/>
                <w:szCs w:val="20"/>
                <w:color w:val="auto"/>
              </w:rPr>
            </w:pPr>
            <w:r>
              <w:rPr>
                <w:rFonts w:ascii="Arial" w:cs="Arial" w:eastAsia="Arial" w:hAnsi="Arial"/>
                <w:sz w:val="18"/>
                <w:szCs w:val="18"/>
                <w:color w:val="auto"/>
              </w:rPr>
              <w:t>Italy</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Poloco Netherlands BV (Netherlands)</w:t>
            </w:r>
          </w:p>
        </w:tc>
        <w:tc>
          <w:tcPr>
            <w:tcW w:w="30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Netherlands</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Polo Fin BV (Netherlands)</w:t>
            </w:r>
          </w:p>
        </w:tc>
        <w:tc>
          <w:tcPr>
            <w:tcW w:w="300" w:type="dxa"/>
            <w:vAlign w:val="bottom"/>
          </w:tcPr>
          <w:p>
            <w:pPr>
              <w:spacing w:after="0"/>
              <w:rPr>
                <w:sz w:val="18"/>
                <w:szCs w:val="18"/>
                <w:color w:val="auto"/>
              </w:rPr>
            </w:pPr>
          </w:p>
        </w:tc>
        <w:tc>
          <w:tcPr>
            <w:tcW w:w="4400" w:type="dxa"/>
            <w:vAlign w:val="bottom"/>
            <w:gridSpan w:val="2"/>
          </w:tcPr>
          <w:p>
            <w:pPr>
              <w:jc w:val="right"/>
              <w:ind w:right="1360"/>
              <w:spacing w:after="0"/>
              <w:rPr>
                <w:sz w:val="20"/>
                <w:szCs w:val="20"/>
                <w:color w:val="auto"/>
              </w:rPr>
            </w:pPr>
            <w:r>
              <w:rPr>
                <w:rFonts w:ascii="Arial" w:cs="Arial" w:eastAsia="Arial" w:hAnsi="Arial"/>
                <w:sz w:val="18"/>
                <w:szCs w:val="18"/>
                <w:color w:val="auto"/>
              </w:rPr>
              <w:t>Netherlands</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Polo Retail Europe Limited (FKA) Acqui Polo UK (UK)</w:t>
            </w:r>
          </w:p>
        </w:tc>
        <w:tc>
          <w:tcPr>
            <w:tcW w:w="30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United Kingdom</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Poloco Ltd. (UK)</w:t>
            </w:r>
          </w:p>
        </w:tc>
        <w:tc>
          <w:tcPr>
            <w:tcW w:w="300" w:type="dxa"/>
            <w:vAlign w:val="bottom"/>
          </w:tcPr>
          <w:p>
            <w:pPr>
              <w:spacing w:after="0"/>
              <w:rPr>
                <w:sz w:val="18"/>
                <w:szCs w:val="18"/>
                <w:color w:val="auto"/>
              </w:rPr>
            </w:pPr>
          </w:p>
        </w:tc>
        <w:tc>
          <w:tcPr>
            <w:tcW w:w="4400" w:type="dxa"/>
            <w:vAlign w:val="bottom"/>
            <w:gridSpan w:val="2"/>
          </w:tcPr>
          <w:p>
            <w:pPr>
              <w:jc w:val="right"/>
              <w:ind w:right="1360"/>
              <w:spacing w:after="0"/>
              <w:rPr>
                <w:sz w:val="20"/>
                <w:szCs w:val="20"/>
                <w:color w:val="auto"/>
              </w:rPr>
            </w:pPr>
            <w:r>
              <w:rPr>
                <w:rFonts w:ascii="Arial" w:cs="Arial" w:eastAsia="Arial" w:hAnsi="Arial"/>
                <w:sz w:val="18"/>
                <w:szCs w:val="18"/>
                <w:color w:val="auto"/>
              </w:rPr>
              <w:t>United Kingdom</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Polo UK Ltd. (FKA) Polo Factory Outlet Ltd. (UK)</w:t>
            </w:r>
          </w:p>
        </w:tc>
        <w:tc>
          <w:tcPr>
            <w:tcW w:w="30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United Kingdom</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Polo Jeans Co. (Europe) Ltd. (UK)</w:t>
            </w:r>
          </w:p>
        </w:tc>
        <w:tc>
          <w:tcPr>
            <w:tcW w:w="300" w:type="dxa"/>
            <w:vAlign w:val="bottom"/>
          </w:tcPr>
          <w:p>
            <w:pPr>
              <w:spacing w:after="0"/>
              <w:rPr>
                <w:sz w:val="18"/>
                <w:szCs w:val="18"/>
                <w:color w:val="auto"/>
              </w:rPr>
            </w:pPr>
          </w:p>
        </w:tc>
        <w:tc>
          <w:tcPr>
            <w:tcW w:w="4400" w:type="dxa"/>
            <w:vAlign w:val="bottom"/>
            <w:gridSpan w:val="2"/>
          </w:tcPr>
          <w:p>
            <w:pPr>
              <w:jc w:val="right"/>
              <w:ind w:right="1360"/>
              <w:spacing w:after="0"/>
              <w:rPr>
                <w:sz w:val="20"/>
                <w:szCs w:val="20"/>
                <w:color w:val="auto"/>
              </w:rPr>
            </w:pPr>
            <w:r>
              <w:rPr>
                <w:rFonts w:ascii="Arial" w:cs="Arial" w:eastAsia="Arial" w:hAnsi="Arial"/>
                <w:sz w:val="18"/>
                <w:szCs w:val="18"/>
                <w:color w:val="auto"/>
              </w:rPr>
              <w:t>United Kingdom</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PRL S.R.L. Argentina</w:t>
            </w:r>
          </w:p>
        </w:tc>
        <w:tc>
          <w:tcPr>
            <w:tcW w:w="30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Argentina</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Polo Ralph Lauren Milan S.r.l. (Italy)</w:t>
            </w:r>
          </w:p>
        </w:tc>
        <w:tc>
          <w:tcPr>
            <w:tcW w:w="300" w:type="dxa"/>
            <w:vAlign w:val="bottom"/>
          </w:tcPr>
          <w:p>
            <w:pPr>
              <w:spacing w:after="0"/>
              <w:rPr>
                <w:sz w:val="18"/>
                <w:szCs w:val="18"/>
                <w:color w:val="auto"/>
              </w:rPr>
            </w:pPr>
          </w:p>
        </w:tc>
        <w:tc>
          <w:tcPr>
            <w:tcW w:w="4400" w:type="dxa"/>
            <w:vAlign w:val="bottom"/>
            <w:gridSpan w:val="2"/>
          </w:tcPr>
          <w:p>
            <w:pPr>
              <w:jc w:val="right"/>
              <w:ind w:right="1360"/>
              <w:spacing w:after="0"/>
              <w:rPr>
                <w:sz w:val="20"/>
                <w:szCs w:val="20"/>
                <w:color w:val="auto"/>
              </w:rPr>
            </w:pPr>
            <w:r>
              <w:rPr>
                <w:rFonts w:ascii="Arial" w:cs="Arial" w:eastAsia="Arial" w:hAnsi="Arial"/>
                <w:sz w:val="18"/>
                <w:szCs w:val="18"/>
                <w:color w:val="auto"/>
              </w:rPr>
              <w:t>Italy</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Polo Ralph Lauren Sourcing Italy S.r.l. (Italy)</w:t>
            </w:r>
          </w:p>
        </w:tc>
        <w:tc>
          <w:tcPr>
            <w:tcW w:w="30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Italy</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Polo Ralph Lauren Europe SARL (Switzerland)</w:t>
            </w:r>
          </w:p>
        </w:tc>
        <w:tc>
          <w:tcPr>
            <w:tcW w:w="300" w:type="dxa"/>
            <w:vAlign w:val="bottom"/>
          </w:tcPr>
          <w:p>
            <w:pPr>
              <w:spacing w:after="0"/>
              <w:rPr>
                <w:sz w:val="18"/>
                <w:szCs w:val="18"/>
                <w:color w:val="auto"/>
              </w:rPr>
            </w:pPr>
          </w:p>
        </w:tc>
        <w:tc>
          <w:tcPr>
            <w:tcW w:w="4400" w:type="dxa"/>
            <w:vAlign w:val="bottom"/>
            <w:gridSpan w:val="2"/>
          </w:tcPr>
          <w:p>
            <w:pPr>
              <w:jc w:val="right"/>
              <w:ind w:right="1360"/>
              <w:spacing w:after="0"/>
              <w:rPr>
                <w:sz w:val="20"/>
                <w:szCs w:val="20"/>
                <w:color w:val="auto"/>
              </w:rPr>
            </w:pPr>
            <w:r>
              <w:rPr>
                <w:rFonts w:ascii="Arial" w:cs="Arial" w:eastAsia="Arial" w:hAnsi="Arial"/>
                <w:sz w:val="18"/>
                <w:szCs w:val="18"/>
                <w:color w:val="auto"/>
              </w:rPr>
              <w:t>Switzerland</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PRL Hotel Company, LLC</w:t>
            </w:r>
          </w:p>
        </w:tc>
        <w:tc>
          <w:tcPr>
            <w:tcW w:w="30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379 West Broadway Retail, LLC</w:t>
            </w:r>
          </w:p>
        </w:tc>
        <w:tc>
          <w:tcPr>
            <w:tcW w:w="300" w:type="dxa"/>
            <w:vAlign w:val="bottom"/>
          </w:tcPr>
          <w:p>
            <w:pPr>
              <w:spacing w:after="0"/>
              <w:rPr>
                <w:sz w:val="18"/>
                <w:szCs w:val="18"/>
                <w:color w:val="auto"/>
              </w:rPr>
            </w:pPr>
          </w:p>
        </w:tc>
        <w:tc>
          <w:tcPr>
            <w:tcW w:w="4400" w:type="dxa"/>
            <w:vAlign w:val="bottom"/>
            <w:gridSpan w:val="2"/>
          </w:tcPr>
          <w:p>
            <w:pPr>
              <w:jc w:val="right"/>
              <w:ind w:right="1360"/>
              <w:spacing w:after="0"/>
              <w:rPr>
                <w:sz w:val="20"/>
                <w:szCs w:val="20"/>
                <w:color w:val="auto"/>
              </w:rPr>
            </w:pPr>
            <w:r>
              <w:rPr>
                <w:rFonts w:ascii="Arial" w:cs="Arial" w:eastAsia="Arial" w:hAnsi="Arial"/>
                <w:sz w:val="18"/>
                <w:szCs w:val="18"/>
                <w:color w:val="auto"/>
              </w:rPr>
              <w:t>New York</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Polo Players, Ltd GP</w:t>
            </w:r>
          </w:p>
        </w:tc>
        <w:tc>
          <w:tcPr>
            <w:tcW w:w="30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Polo Players Alto Company GP</w:t>
            </w:r>
          </w:p>
        </w:tc>
        <w:tc>
          <w:tcPr>
            <w:tcW w:w="300" w:type="dxa"/>
            <w:vAlign w:val="bottom"/>
          </w:tcPr>
          <w:p>
            <w:pPr>
              <w:spacing w:after="0"/>
              <w:rPr>
                <w:sz w:val="18"/>
                <w:szCs w:val="18"/>
                <w:color w:val="auto"/>
              </w:rPr>
            </w:pPr>
          </w:p>
        </w:tc>
        <w:tc>
          <w:tcPr>
            <w:tcW w:w="4400" w:type="dxa"/>
            <w:vAlign w:val="bottom"/>
            <w:gridSpan w:val="2"/>
          </w:tcPr>
          <w:p>
            <w:pPr>
              <w:jc w:val="right"/>
              <w:ind w:right="13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PRC Management Corp.</w:t>
            </w:r>
          </w:p>
        </w:tc>
        <w:tc>
          <w:tcPr>
            <w:tcW w:w="30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Colorado</w:t>
            </w:r>
          </w:p>
        </w:tc>
      </w:tr>
      <w:tr>
        <w:trPr>
          <w:trHeight w:val="230"/>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R.L. Fashions of Michigan, LLC</w:t>
            </w:r>
          </w:p>
        </w:tc>
        <w:tc>
          <w:tcPr>
            <w:tcW w:w="300" w:type="dxa"/>
            <w:vAlign w:val="bottom"/>
          </w:tcPr>
          <w:p>
            <w:pPr>
              <w:spacing w:after="0"/>
              <w:rPr>
                <w:sz w:val="20"/>
                <w:szCs w:val="20"/>
                <w:color w:val="auto"/>
              </w:rPr>
            </w:pPr>
          </w:p>
        </w:tc>
        <w:tc>
          <w:tcPr>
            <w:tcW w:w="4400" w:type="dxa"/>
            <w:vAlign w:val="bottom"/>
            <w:gridSpan w:val="2"/>
          </w:tcPr>
          <w:p>
            <w:pPr>
              <w:jc w:val="right"/>
              <w:ind w:right="136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941"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23.1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consent to the incorporation by reference in Registration Statement No. 333-46808 and 333-29023 of Polo Ralph Lauren Corporation and subsidiaries (the “Company”) on Form S-8 of our reports dated June 30, 2005 relating to the consolidated financial statements and financial statement schedule of the Company (which report expresses an unqualified opinion and includes an explanatory paragraph for the restatement described in Note 2) and management’s report on the effectiveness of internal control over financial reporting dated June 30, 2005 (which report expresses an unqualified opinion on management’s assessment and an adverse opinion on the effectiveness of the Company’s internal control over financial reporting because of a material weakness), appearing in this Annual Report on Form 10-K of Polo Ralph Lauren Corporation and subsidiaries for the year ended April 2, 2005.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30, 2005</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932"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Ralph Lauren, certify that:</w:t>
      </w:r>
    </w:p>
    <w:p>
      <w:pPr>
        <w:spacing w:after="0" w:line="185" w:lineRule="exact"/>
        <w:rPr>
          <w:sz w:val="20"/>
          <w:szCs w:val="20"/>
          <w:color w:val="auto"/>
        </w:rPr>
      </w:pPr>
    </w:p>
    <w:p>
      <w:pPr>
        <w:ind w:left="420" w:hanging="187"/>
        <w:spacing w:after="0"/>
        <w:tabs>
          <w:tab w:leader="none" w:pos="4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Polo Ralph Lauren Corporation;</w:t>
      </w:r>
    </w:p>
    <w:p>
      <w:pPr>
        <w:spacing w:after="0" w:line="198" w:lineRule="exact"/>
        <w:rPr>
          <w:rFonts w:ascii="Arial" w:cs="Arial" w:eastAsia="Arial" w:hAnsi="Arial"/>
          <w:sz w:val="18"/>
          <w:szCs w:val="18"/>
          <w:color w:val="auto"/>
        </w:rPr>
      </w:pPr>
    </w:p>
    <w:p>
      <w:pPr>
        <w:ind w:right="440" w:firstLine="233"/>
        <w:spacing w:after="0" w:line="342" w:lineRule="auto"/>
        <w:tabs>
          <w:tab w:leader="none" w:pos="40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500" w:firstLine="233"/>
        <w:spacing w:after="0" w:line="277" w:lineRule="auto"/>
        <w:tabs>
          <w:tab w:leader="none" w:pos="40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260" w:firstLine="233"/>
        <w:spacing w:after="0" w:line="264" w:lineRule="auto"/>
        <w:tabs>
          <w:tab w:leader="none" w:pos="40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360" w:right="340" w:firstLine="215"/>
        <w:spacing w:after="0" w:line="264" w:lineRule="auto"/>
        <w:tabs>
          <w:tab w:leader="none" w:pos="77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360" w:right="540" w:firstLine="215"/>
        <w:spacing w:after="0" w:line="264" w:lineRule="auto"/>
        <w:tabs>
          <w:tab w:leader="none" w:pos="7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360" w:firstLine="215"/>
        <w:spacing w:after="0" w:line="308" w:lineRule="auto"/>
        <w:tabs>
          <w:tab w:leader="none" w:pos="77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7"/>
          <w:szCs w:val="17"/>
          <w:color w:val="auto"/>
        </w:rPr>
      </w:pPr>
    </w:p>
    <w:p>
      <w:pPr>
        <w:ind w:left="360" w:right="40" w:firstLine="215"/>
        <w:spacing w:after="0" w:line="264" w:lineRule="auto"/>
        <w:tabs>
          <w:tab w:leader="none" w:pos="7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40" w:firstLine="233"/>
        <w:spacing w:after="0" w:line="308" w:lineRule="auto"/>
        <w:tabs>
          <w:tab w:leader="none" w:pos="402"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06" w:lineRule="exact"/>
        <w:rPr>
          <w:rFonts w:ascii="Arial" w:cs="Arial" w:eastAsia="Arial" w:hAnsi="Arial"/>
          <w:sz w:val="17"/>
          <w:szCs w:val="17"/>
          <w:color w:val="auto"/>
        </w:rPr>
      </w:pPr>
    </w:p>
    <w:p>
      <w:pPr>
        <w:ind w:left="360" w:right="400" w:firstLine="215"/>
        <w:spacing w:after="0" w:line="277" w:lineRule="auto"/>
        <w:tabs>
          <w:tab w:leader="none" w:pos="77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360" w:right="340" w:firstLine="215"/>
        <w:spacing w:after="0" w:line="277" w:lineRule="auto"/>
        <w:tabs>
          <w:tab w:leader="none" w:pos="7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RALPH LAUREN</w:t>
      </w:r>
    </w:p>
    <w:p>
      <w:pPr>
        <w:spacing w:after="0" w:line="3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Ralph Lauren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-130175</wp:posOffset>
            </wp:positionV>
            <wp:extent cx="25984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jc w:val="center"/>
        <w:ind w:left="4020"/>
        <w:spacing w:after="0"/>
        <w:rPr>
          <w:sz w:val="20"/>
          <w:szCs w:val="20"/>
          <w:color w:val="auto"/>
        </w:rPr>
      </w:pPr>
      <w:r>
        <w:rPr>
          <w:rFonts w:ascii="Arial" w:cs="Arial" w:eastAsia="Arial" w:hAnsi="Arial"/>
          <w:sz w:val="18"/>
          <w:szCs w:val="18"/>
          <w:i w:val="1"/>
          <w:iCs w:val="1"/>
          <w:color w:val="auto"/>
        </w:rPr>
        <w:t>Chairman of the Board and Chief Executive Officer</w:t>
      </w:r>
    </w:p>
    <w:p>
      <w:pPr>
        <w:spacing w:after="0" w:line="9" w:lineRule="exact"/>
        <w:rPr>
          <w:sz w:val="20"/>
          <w:szCs w:val="20"/>
          <w:color w:val="auto"/>
        </w:rPr>
      </w:pPr>
    </w:p>
    <w:p>
      <w:pPr>
        <w:jc w:val="center"/>
        <w:ind w:left="402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June 30,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931"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Tracey T. Travis, certify that:</w:t>
      </w:r>
    </w:p>
    <w:p>
      <w:pPr>
        <w:spacing w:after="0" w:line="185" w:lineRule="exact"/>
        <w:rPr>
          <w:sz w:val="20"/>
          <w:szCs w:val="20"/>
          <w:color w:val="auto"/>
        </w:rPr>
      </w:pPr>
    </w:p>
    <w:p>
      <w:pPr>
        <w:ind w:left="180" w:hanging="172"/>
        <w:spacing w:after="0"/>
        <w:tabs>
          <w:tab w:leader="none" w:pos="1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Polo Ralph Lauren Corporation;</w:t>
      </w:r>
    </w:p>
    <w:p>
      <w:pPr>
        <w:spacing w:after="0" w:line="198" w:lineRule="exact"/>
        <w:rPr>
          <w:rFonts w:ascii="Arial" w:cs="Arial" w:eastAsia="Arial" w:hAnsi="Arial"/>
          <w:sz w:val="18"/>
          <w:szCs w:val="18"/>
          <w:color w:val="auto"/>
        </w:rPr>
      </w:pPr>
    </w:p>
    <w:p>
      <w:pPr>
        <w:ind w:right="440" w:firstLine="233"/>
        <w:spacing w:after="0" w:line="342" w:lineRule="auto"/>
        <w:tabs>
          <w:tab w:leader="none" w:pos="405" w:val="left"/>
        </w:tabs>
        <w:numPr>
          <w:ilvl w:val="1"/>
          <w:numId w:val="1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500" w:firstLine="233"/>
        <w:spacing w:after="0" w:line="277" w:lineRule="auto"/>
        <w:tabs>
          <w:tab w:leader="none" w:pos="405" w:val="left"/>
        </w:tabs>
        <w:numPr>
          <w:ilvl w:val="1"/>
          <w:numId w:val="1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260" w:firstLine="233"/>
        <w:spacing w:after="0" w:line="264" w:lineRule="auto"/>
        <w:tabs>
          <w:tab w:leader="none" w:pos="402"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360" w:right="340" w:firstLine="215"/>
        <w:spacing w:after="0" w:line="264" w:lineRule="auto"/>
        <w:tabs>
          <w:tab w:leader="none" w:pos="77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360" w:right="540" w:firstLine="215"/>
        <w:spacing w:after="0" w:line="264" w:lineRule="auto"/>
        <w:tabs>
          <w:tab w:leader="none" w:pos="78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360" w:firstLine="215"/>
        <w:spacing w:after="0" w:line="308" w:lineRule="auto"/>
        <w:tabs>
          <w:tab w:leader="none" w:pos="770" w:val="left"/>
        </w:tabs>
        <w:numPr>
          <w:ilvl w:val="2"/>
          <w:numId w:val="1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7"/>
          <w:szCs w:val="17"/>
          <w:color w:val="auto"/>
        </w:rPr>
      </w:pPr>
    </w:p>
    <w:p>
      <w:pPr>
        <w:ind w:left="360" w:right="40" w:firstLine="215"/>
        <w:spacing w:after="0" w:line="264" w:lineRule="auto"/>
        <w:tabs>
          <w:tab w:leader="none" w:pos="78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40" w:firstLine="233"/>
        <w:spacing w:after="0" w:line="308" w:lineRule="auto"/>
        <w:tabs>
          <w:tab w:leader="none" w:pos="402" w:val="left"/>
        </w:tabs>
        <w:numPr>
          <w:ilvl w:val="1"/>
          <w:numId w:val="1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06" w:lineRule="exact"/>
        <w:rPr>
          <w:rFonts w:ascii="Arial" w:cs="Arial" w:eastAsia="Arial" w:hAnsi="Arial"/>
          <w:sz w:val="17"/>
          <w:szCs w:val="17"/>
          <w:color w:val="auto"/>
        </w:rPr>
      </w:pPr>
    </w:p>
    <w:p>
      <w:pPr>
        <w:ind w:left="360" w:right="400" w:firstLine="215"/>
        <w:spacing w:after="0" w:line="277" w:lineRule="auto"/>
        <w:tabs>
          <w:tab w:leader="none" w:pos="77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360" w:right="340" w:firstLine="215"/>
        <w:spacing w:after="0" w:line="277" w:lineRule="auto"/>
        <w:tabs>
          <w:tab w:leader="none" w:pos="78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TRACEY T. TRAVIS</w:t>
      </w:r>
    </w:p>
    <w:p>
      <w:pPr>
        <w:spacing w:after="0" w:line="3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Tracey T. Travis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-130175</wp:posOffset>
            </wp:positionV>
            <wp:extent cx="25984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jc w:val="center"/>
        <w:ind w:left="402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9" w:lineRule="exact"/>
        <w:rPr>
          <w:sz w:val="20"/>
          <w:szCs w:val="20"/>
          <w:color w:val="auto"/>
        </w:rPr>
      </w:pPr>
    </w:p>
    <w:p>
      <w:pPr>
        <w:jc w:val="center"/>
        <w:ind w:left="4020"/>
        <w:spacing w:after="0"/>
        <w:rPr>
          <w:sz w:val="20"/>
          <w:szCs w:val="20"/>
          <w:color w:val="auto"/>
        </w:rPr>
      </w:pPr>
      <w:r>
        <w:rPr>
          <w:rFonts w:ascii="Arial" w:cs="Arial" w:eastAsia="Arial" w:hAnsi="Arial"/>
          <w:sz w:val="18"/>
          <w:szCs w:val="18"/>
          <w:i w:val="1"/>
          <w:iCs w:val="1"/>
          <w:color w:val="auto"/>
        </w:rPr>
        <w:t>(Principal Financial Officer)</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June 30,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932"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Ralph Lauren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70"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color w:val="auto"/>
        </w:rPr>
        <w:t>In connection with the Annual Report of Polo Ralph Lauren Corporation (the “Company”) on Form 10-K for the period ended April 2, 2005 as filed with the Securities and Exchange Commission on the date hereof (the “Report”), I, Ralph Lauren, Chief Executive Officer of the Company, certify, pursuant to 18 U.S.C. Section 1350, as adopted pursuant to Section 906 of the Sarbanes-Oxley Act of 2002, that:</w:t>
      </w:r>
    </w:p>
    <w:p>
      <w:pPr>
        <w:spacing w:after="0" w:line="141" w:lineRule="exact"/>
        <w:rPr>
          <w:sz w:val="20"/>
          <w:szCs w:val="20"/>
          <w:color w:val="auto"/>
        </w:rPr>
      </w:pPr>
    </w:p>
    <w:p>
      <w:pPr>
        <w:ind w:left="400" w:hanging="167"/>
        <w:spacing w:after="0"/>
        <w:tabs>
          <w:tab w:leader="none" w:pos="4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400" w:hanging="167"/>
        <w:spacing w:after="0"/>
        <w:tabs>
          <w:tab w:leader="none" w:pos="4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p>
      <w:pPr>
        <w:jc w:val="center"/>
        <w:ind w:left="3780"/>
        <w:spacing w:after="0"/>
        <w:rPr>
          <w:sz w:val="20"/>
          <w:szCs w:val="20"/>
          <w:color w:val="auto"/>
        </w:rPr>
      </w:pPr>
      <w:r>
        <w:rPr>
          <w:rFonts w:ascii="Arial" w:cs="Arial" w:eastAsia="Arial" w:hAnsi="Arial"/>
          <w:sz w:val="18"/>
          <w:szCs w:val="18"/>
          <w:color w:val="auto"/>
        </w:rPr>
        <w:t>/s/ RALPH LAUREN</w:t>
      </w:r>
    </w:p>
    <w:p>
      <w:pPr>
        <w:spacing w:after="0" w:line="36" w:lineRule="exact"/>
        <w:rPr>
          <w:sz w:val="20"/>
          <w:szCs w:val="20"/>
          <w:color w:val="auto"/>
        </w:rPr>
      </w:pPr>
    </w:p>
    <w:p>
      <w:pPr>
        <w:jc w:val="center"/>
        <w:ind w:left="3780"/>
        <w:spacing w:after="0"/>
        <w:rPr>
          <w:sz w:val="20"/>
          <w:szCs w:val="20"/>
          <w:color w:val="auto"/>
        </w:rPr>
      </w:pPr>
      <w:r>
        <w:rPr>
          <w:rFonts w:ascii="Arial" w:cs="Arial" w:eastAsia="Arial" w:hAnsi="Arial"/>
          <w:sz w:val="18"/>
          <w:szCs w:val="18"/>
          <w:color w:val="auto"/>
        </w:rPr>
        <w:t>Ralph Lauren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-130175</wp:posOffset>
            </wp:positionV>
            <wp:extent cx="268414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June 30,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00" w:firstLine="215"/>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Polo Ralph Lauren Corporation and will be retained by Polo Ralph Lauren Corporation and furnished to the Securities and Exchange Commission or its staff upon request.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932"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Tracey T. Travis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70" w:lineRule="exact"/>
        <w:rPr>
          <w:sz w:val="20"/>
          <w:szCs w:val="20"/>
          <w:color w:val="auto"/>
        </w:rPr>
      </w:pPr>
    </w:p>
    <w:p>
      <w:pPr>
        <w:jc w:val="both"/>
        <w:ind w:right="140" w:firstLine="225"/>
        <w:spacing w:after="0" w:line="264" w:lineRule="auto"/>
        <w:rPr>
          <w:sz w:val="20"/>
          <w:szCs w:val="20"/>
          <w:color w:val="auto"/>
        </w:rPr>
      </w:pPr>
      <w:r>
        <w:rPr>
          <w:rFonts w:ascii="Arial" w:cs="Arial" w:eastAsia="Arial" w:hAnsi="Arial"/>
          <w:sz w:val="18"/>
          <w:szCs w:val="18"/>
          <w:color w:val="auto"/>
        </w:rPr>
        <w:t>In connection with the Annual Report of Polo Ralph Lauren Corporation (the “Company”) on Form 10-K for the period ended April 2, 2005 as filed with the Securities and Exchange Commission on the date hereof (the “Report”), I, Tracey T. Travis, Chief Financial Officer of the Company, certify, pursuant to 18 U.S.C. Section 1350, as adopted pursuant to Section 906 of the Sarbanes-Oxley Act of 2002, that:</w:t>
      </w:r>
    </w:p>
    <w:p>
      <w:pPr>
        <w:spacing w:after="0" w:line="141" w:lineRule="exact"/>
        <w:rPr>
          <w:sz w:val="20"/>
          <w:szCs w:val="20"/>
          <w:color w:val="auto"/>
        </w:rPr>
      </w:pPr>
    </w:p>
    <w:p>
      <w:pPr>
        <w:ind w:left="400" w:hanging="167"/>
        <w:spacing w:after="0"/>
        <w:tabs>
          <w:tab w:leader="none" w:pos="4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400" w:hanging="167"/>
        <w:spacing w:after="0"/>
        <w:tabs>
          <w:tab w:leader="none" w:pos="4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p>
      <w:pPr>
        <w:jc w:val="center"/>
        <w:ind w:left="3780"/>
        <w:spacing w:after="0"/>
        <w:rPr>
          <w:sz w:val="20"/>
          <w:szCs w:val="20"/>
          <w:color w:val="auto"/>
        </w:rPr>
      </w:pPr>
      <w:r>
        <w:rPr>
          <w:rFonts w:ascii="Arial" w:cs="Arial" w:eastAsia="Arial" w:hAnsi="Arial"/>
          <w:sz w:val="18"/>
          <w:szCs w:val="18"/>
          <w:color w:val="auto"/>
        </w:rPr>
        <w:t>/s/ TRACEY T. TRAVIS</w:t>
      </w:r>
    </w:p>
    <w:p>
      <w:pPr>
        <w:spacing w:after="0" w:line="36" w:lineRule="exact"/>
        <w:rPr>
          <w:sz w:val="20"/>
          <w:szCs w:val="20"/>
          <w:color w:val="auto"/>
        </w:rPr>
      </w:pPr>
    </w:p>
    <w:p>
      <w:pPr>
        <w:jc w:val="center"/>
        <w:ind w:left="3780"/>
        <w:spacing w:after="0"/>
        <w:rPr>
          <w:sz w:val="20"/>
          <w:szCs w:val="20"/>
          <w:color w:val="auto"/>
        </w:rPr>
      </w:pPr>
      <w:r>
        <w:rPr>
          <w:rFonts w:ascii="Arial" w:cs="Arial" w:eastAsia="Arial" w:hAnsi="Arial"/>
          <w:sz w:val="18"/>
          <w:szCs w:val="18"/>
          <w:color w:val="auto"/>
        </w:rPr>
        <w:t>Tracey T. Travis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-130175</wp:posOffset>
            </wp:positionV>
            <wp:extent cx="268414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June 30,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00" w:firstLine="215"/>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Polo Ralph Lauren Corporation and will be retained by Polo Ralph Lauren Corporation and furnished to the Securities and Exchange Commission or its staff upon request.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sectPr>
      <w:pgSz w:w="11900" w:h="16838" w:orient="portrait"/>
      <w:cols w:equalWidth="0" w:num="1">
        <w:col w:w="11420"/>
      </w:cols>
      <w:pgMar w:left="240" w:top="9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o"/>
      <w:numFmt w:val="bullet"/>
      <w:start w:val="1"/>
    </w:lvl>
  </w:abstractNum>
  <w:abstractNum w:abstractNumId="2">
    <w:nsid w:val="7E0C57B1"/>
    <w:multiLevelType w:val="hybridMultilevel"/>
    <w:lvl w:ilvl="0">
      <w:lvlJc w:val="left"/>
      <w:lvlText w:val="•"/>
      <w:numFmt w:val="bullet"/>
      <w:start w:val="1"/>
    </w:lvl>
  </w:abstractNum>
  <w:abstractNum w:abstractNumId="3">
    <w:nsid w:val="77AE35EB"/>
    <w:multiLevelType w:val="hybridMultilevel"/>
    <w:lvl w:ilvl="0">
      <w:lvlJc w:val="left"/>
      <w:lvlText w:val="•"/>
      <w:numFmt w:val="bullet"/>
      <w:start w:val="1"/>
    </w:lvl>
  </w:abstractNum>
  <w:abstractNum w:abstractNumId="4">
    <w:nsid w:val="579BE4F1"/>
    <w:multiLevelType w:val="hybridMultilevel"/>
    <w:lvl w:ilvl="0">
      <w:lvlJc w:val="left"/>
      <w:lvlText w:val="•"/>
      <w:numFmt w:val="bullet"/>
      <w:start w:val="1"/>
    </w:lvl>
  </w:abstractNum>
  <w:abstractNum w:abstractNumId="5">
    <w:nsid w:val="310C50B3"/>
    <w:multiLevelType w:val="hybridMultilevel"/>
    <w:lvl w:ilvl="0">
      <w:lvlJc w:val="left"/>
      <w:lvlText w:val="•"/>
      <w:numFmt w:val="bullet"/>
      <w:start w:val="1"/>
    </w:lvl>
  </w:abstractNum>
  <w:abstractNum w:abstractNumId="6">
    <w:nsid w:val="5FF87E05"/>
    <w:multiLevelType w:val="hybridMultilevel"/>
    <w:lvl w:ilvl="0">
      <w:lvlJc w:val="left"/>
      <w:lvlText w:val="•"/>
      <w:numFmt w:val="bullet"/>
      <w:start w:val="1"/>
    </w:lvl>
  </w:abstractNum>
  <w:abstractNum w:abstractNumId="7">
    <w:nsid w:val="2F305DEF"/>
    <w:multiLevelType w:val="hybridMultilevel"/>
    <w:lvl w:ilvl="0">
      <w:lvlJc w:val="left"/>
      <w:lvlText w:val="•"/>
      <w:numFmt w:val="bullet"/>
      <w:start w:val="1"/>
    </w:lvl>
  </w:abstractNum>
  <w:abstractNum w:abstractNumId="8">
    <w:nsid w:val="25A70BF7"/>
    <w:multiLevelType w:val="hybridMultilevel"/>
    <w:lvl w:ilvl="0">
      <w:lvlJc w:val="left"/>
      <w:lvlText w:val="•"/>
      <w:numFmt w:val="bullet"/>
      <w:start w:val="1"/>
    </w:lvl>
  </w:abstractNum>
  <w:abstractNum w:abstractNumId="9">
    <w:nsid w:val="1DBABF00"/>
    <w:multiLevelType w:val="hybridMultilevel"/>
    <w:lvl w:ilvl="0">
      <w:lvlJc w:val="left"/>
      <w:lvlText w:val="•"/>
      <w:numFmt w:val="bullet"/>
      <w:start w:val="1"/>
    </w:lvl>
  </w:abstractNum>
  <w:abstractNum w:abstractNumId="10">
    <w:nsid w:val="4AD084E9"/>
    <w:multiLevelType w:val="hybridMultilevel"/>
    <w:lvl w:ilvl="0">
      <w:lvlJc w:val="left"/>
      <w:lvlText w:val="•"/>
      <w:numFmt w:val="bullet"/>
      <w:start w:val="1"/>
    </w:lvl>
  </w:abstractNum>
  <w:abstractNum w:abstractNumId="11">
    <w:nsid w:val="1F48EAA1"/>
    <w:multiLevelType w:val="hybridMultilevel"/>
    <w:lvl w:ilvl="0">
      <w:lvlJc w:val="left"/>
      <w:lvlText w:val="•"/>
      <w:numFmt w:val="bullet"/>
      <w:start w:val="1"/>
    </w:lvl>
  </w:abstractNum>
  <w:abstractNum w:abstractNumId="12">
    <w:nsid w:val="1381823A"/>
    <w:multiLevelType w:val="hybridMultilevel"/>
    <w:lvl w:ilvl="0">
      <w:lvlJc w:val="left"/>
      <w:lvlText w:val="•"/>
      <w:numFmt w:val="bullet"/>
      <w:start w:val="1"/>
    </w:lvl>
  </w:abstractNum>
  <w:abstractNum w:abstractNumId="13">
    <w:nsid w:val="5DB70AE5"/>
    <w:multiLevelType w:val="hybridMultilevel"/>
    <w:lvl w:ilvl="0">
      <w:lvlJc w:val="left"/>
      <w:lvlText w:val="•"/>
      <w:numFmt w:val="bullet"/>
      <w:start w:val="1"/>
    </w:lvl>
  </w:abstractNum>
  <w:abstractNum w:abstractNumId="14">
    <w:nsid w:val="100F8FCA"/>
    <w:multiLevelType w:val="hybridMultilevel"/>
    <w:lvl w:ilvl="0">
      <w:lvlJc w:val="left"/>
      <w:lvlText w:val="•"/>
      <w:numFmt w:val="bullet"/>
      <w:start w:val="1"/>
    </w:lvl>
  </w:abstractNum>
  <w:abstractNum w:abstractNumId="15">
    <w:nsid w:val="6590700B"/>
    <w:multiLevelType w:val="hybridMultilevel"/>
    <w:lvl w:ilvl="0">
      <w:lvlJc w:val="left"/>
      <w:lvlText w:val="•"/>
      <w:numFmt w:val="bullet"/>
      <w:start w:val="1"/>
    </w:lvl>
  </w:abstractNum>
  <w:abstractNum w:abstractNumId="16">
    <w:nsid w:val="15014ACB"/>
    <w:multiLevelType w:val="hybridMultilevel"/>
    <w:lvl w:ilvl="0">
      <w:lvlJc w:val="left"/>
      <w:lvlText w:val="•"/>
      <w:numFmt w:val="bullet"/>
      <w:start w:val="1"/>
    </w:lvl>
  </w:abstractNum>
  <w:abstractNum w:abstractNumId="17">
    <w:nsid w:val="5F5E7FD0"/>
    <w:multiLevelType w:val="hybridMultilevel"/>
    <w:lvl w:ilvl="0">
      <w:lvlJc w:val="left"/>
      <w:lvlText w:val="•"/>
      <w:numFmt w:val="bullet"/>
      <w:start w:val="1"/>
    </w:lvl>
  </w:abstractNum>
  <w:abstractNum w:abstractNumId="18">
    <w:nsid w:val="98A3148"/>
    <w:multiLevelType w:val="hybridMultilevel"/>
    <w:lvl w:ilvl="0">
      <w:lvlJc w:val="left"/>
      <w:lvlText w:val="•"/>
      <w:numFmt w:val="bullet"/>
      <w:start w:val="1"/>
    </w:lvl>
  </w:abstractNum>
  <w:abstractNum w:abstractNumId="19">
    <w:nsid w:val="799D0247"/>
    <w:multiLevelType w:val="hybridMultilevel"/>
    <w:lvl w:ilvl="0">
      <w:lvlJc w:val="left"/>
      <w:lvlText w:val="•"/>
      <w:numFmt w:val="bullet"/>
      <w:start w:val="1"/>
    </w:lvl>
  </w:abstractNum>
  <w:abstractNum w:abstractNumId="20">
    <w:nsid w:val="6B94764"/>
    <w:multiLevelType w:val="hybridMultilevel"/>
    <w:lvl w:ilvl="0">
      <w:lvlJc w:val="left"/>
      <w:lvlText w:val="•"/>
      <w:numFmt w:val="bullet"/>
      <w:start w:val="1"/>
    </w:lvl>
  </w:abstractNum>
  <w:abstractNum w:abstractNumId="21">
    <w:nsid w:val="42C296BD"/>
    <w:multiLevelType w:val="hybridMultilevel"/>
    <w:lvl w:ilvl="0">
      <w:lvlJc w:val="left"/>
      <w:lvlText w:val="•"/>
      <w:numFmt w:val="bullet"/>
      <w:start w:val="1"/>
    </w:lvl>
  </w:abstractNum>
  <w:abstractNum w:abstractNumId="22">
    <w:nsid w:val="168E121F"/>
    <w:multiLevelType w:val="hybridMultilevel"/>
    <w:lvl w:ilvl="0">
      <w:lvlJc w:val="left"/>
      <w:lvlText w:val="•"/>
      <w:numFmt w:val="bullet"/>
      <w:start w:val="1"/>
    </w:lvl>
  </w:abstractNum>
  <w:abstractNum w:abstractNumId="23">
    <w:nsid w:val="1EBA5D23"/>
    <w:multiLevelType w:val="hybridMultilevel"/>
    <w:lvl w:ilvl="0">
      <w:lvlJc w:val="left"/>
      <w:lvlText w:val="(%1)"/>
      <w:numFmt w:val="decimal"/>
      <w:start w:val="1"/>
    </w:lvl>
  </w:abstractNum>
  <w:abstractNum w:abstractNumId="24">
    <w:nsid w:val="661E3F1E"/>
    <w:multiLevelType w:val="hybridMultilevel"/>
    <w:lvl w:ilvl="0">
      <w:lvlJc w:val="left"/>
      <w:lvlText w:val="(%1)"/>
      <w:numFmt w:val="decimal"/>
      <w:start w:val="1"/>
    </w:lvl>
  </w:abstractNum>
  <w:abstractNum w:abstractNumId="25">
    <w:nsid w:val="5DC79EA8"/>
    <w:multiLevelType w:val="hybridMultilevel"/>
    <w:lvl w:ilvl="0">
      <w:lvlJc w:val="left"/>
      <w:lvlText w:val="(%1)"/>
      <w:numFmt w:val="decimal"/>
      <w:start w:val="3"/>
    </w:lvl>
  </w:abstractNum>
  <w:abstractNum w:abstractNumId="26">
    <w:nsid w:val="540A471C"/>
    <w:multiLevelType w:val="hybridMultilevel"/>
    <w:lvl w:ilvl="0">
      <w:lvlJc w:val="left"/>
      <w:lvlText w:val="•"/>
      <w:numFmt w:val="bullet"/>
      <w:start w:val="1"/>
    </w:lvl>
  </w:abstractNum>
  <w:abstractNum w:abstractNumId="27">
    <w:nsid w:val="7BD3EE7B"/>
    <w:multiLevelType w:val="hybridMultilevel"/>
    <w:lvl w:ilvl="0">
      <w:lvlJc w:val="left"/>
      <w:lvlText w:val="•"/>
      <w:numFmt w:val="bullet"/>
      <w:start w:val="1"/>
    </w:lvl>
  </w:abstractNum>
  <w:abstractNum w:abstractNumId="28">
    <w:nsid w:val="51D9C564"/>
    <w:multiLevelType w:val="hybridMultilevel"/>
    <w:lvl w:ilvl="0">
      <w:lvlJc w:val="left"/>
      <w:lvlText w:val="•"/>
      <w:numFmt w:val="bullet"/>
      <w:start w:val="1"/>
    </w:lvl>
  </w:abstractNum>
  <w:abstractNum w:abstractNumId="29">
    <w:nsid w:val="613EFDC5"/>
    <w:multiLevelType w:val="hybridMultilevel"/>
    <w:lvl w:ilvl="0">
      <w:lvlJc w:val="left"/>
      <w:lvlText w:val="•"/>
      <w:numFmt w:val="bullet"/>
      <w:start w:val="1"/>
    </w:lvl>
  </w:abstractNum>
  <w:abstractNum w:abstractNumId="30">
    <w:nsid w:val="BF72B14"/>
    <w:multiLevelType w:val="hybridMultilevel"/>
    <w:lvl w:ilvl="0">
      <w:lvlJc w:val="left"/>
      <w:lvlText w:val="•"/>
      <w:numFmt w:val="bullet"/>
      <w:start w:val="1"/>
    </w:lvl>
  </w:abstractNum>
  <w:abstractNum w:abstractNumId="31">
    <w:nsid w:val="11447B73"/>
    <w:multiLevelType w:val="hybridMultilevel"/>
    <w:lvl w:ilvl="0">
      <w:lvlJc w:val="left"/>
      <w:lvlText w:val="•"/>
      <w:numFmt w:val="bullet"/>
      <w:start w:val="1"/>
    </w:lvl>
  </w:abstractNum>
  <w:abstractNum w:abstractNumId="32">
    <w:nsid w:val="42963E5A"/>
    <w:multiLevelType w:val="hybridMultilevel"/>
    <w:lvl w:ilvl="0">
      <w:lvlJc w:val="left"/>
      <w:lvlText w:val="•"/>
      <w:numFmt w:val="bullet"/>
      <w:start w:val="1"/>
    </w:lvl>
  </w:abstractNum>
  <w:abstractNum w:abstractNumId="33">
    <w:nsid w:val="A0382C5"/>
    <w:multiLevelType w:val="hybridMultilevel"/>
    <w:lvl w:ilvl="0">
      <w:lvlJc w:val="left"/>
      <w:lvlText w:val="•"/>
      <w:numFmt w:val="bullet"/>
      <w:start w:val="1"/>
    </w:lvl>
  </w:abstractNum>
  <w:abstractNum w:abstractNumId="34">
    <w:nsid w:val="8F2B15E"/>
    <w:multiLevelType w:val="hybridMultilevel"/>
    <w:lvl w:ilvl="0">
      <w:lvlJc w:val="left"/>
      <w:lvlText w:val="(%1)"/>
      <w:numFmt w:val="lowerRoman"/>
      <w:start w:val="2"/>
    </w:lvl>
  </w:abstractNum>
  <w:abstractNum w:abstractNumId="35">
    <w:nsid w:val="1A32234B"/>
    <w:multiLevelType w:val="hybridMultilevel"/>
    <w:lvl w:ilvl="0">
      <w:lvlJc w:val="left"/>
      <w:lvlText w:val="(%1)"/>
      <w:numFmt w:val="lowerLetter"/>
      <w:start w:val="25"/>
    </w:lvl>
  </w:abstractNum>
  <w:abstractNum w:abstractNumId="36">
    <w:nsid w:val="3B0FD379"/>
    <w:multiLevelType w:val="hybridMultilevel"/>
    <w:lvl w:ilvl="0">
      <w:lvlJc w:val="left"/>
      <w:lvlText w:val="•"/>
      <w:numFmt w:val="bullet"/>
      <w:start w:val="1"/>
    </w:lvl>
  </w:abstractNum>
  <w:abstractNum w:abstractNumId="37">
    <w:nsid w:val="68EB2F63"/>
    <w:multiLevelType w:val="hybridMultilevel"/>
    <w:lvl w:ilvl="0">
      <w:lvlJc w:val="left"/>
      <w:lvlText w:val="•"/>
      <w:numFmt w:val="bullet"/>
      <w:start w:val="1"/>
    </w:lvl>
  </w:abstractNum>
  <w:abstractNum w:abstractNumId="38">
    <w:nsid w:val="4962813B"/>
    <w:multiLevelType w:val="hybridMultilevel"/>
    <w:lvl w:ilvl="0">
      <w:lvlJc w:val="left"/>
      <w:lvlText w:val="•"/>
      <w:numFmt w:val="bullet"/>
      <w:start w:val="1"/>
    </w:lvl>
  </w:abstractNum>
  <w:abstractNum w:abstractNumId="39">
    <w:nsid w:val="60B6DF70"/>
    <w:multiLevelType w:val="hybridMultilevel"/>
    <w:lvl w:ilvl="0">
      <w:lvlJc w:val="left"/>
      <w:lvlText w:val="•"/>
      <w:numFmt w:val="bullet"/>
      <w:start w:val="1"/>
    </w:lvl>
  </w:abstractNum>
  <w:abstractNum w:abstractNumId="40">
    <w:nsid w:val="6A5EE64"/>
    <w:multiLevelType w:val="hybridMultilevel"/>
    <w:lvl w:ilvl="0">
      <w:lvlJc w:val="left"/>
      <w:lvlText w:val="(%1)"/>
      <w:numFmt w:val="decimal"/>
      <w:start w:val="1"/>
    </w:lvl>
  </w:abstractNum>
  <w:abstractNum w:abstractNumId="41">
    <w:nsid w:val="14330624"/>
    <w:multiLevelType w:val="hybridMultilevel"/>
    <w:lvl w:ilvl="0">
      <w:lvlJc w:val="left"/>
      <w:lvlText w:val="%1"/>
      <w:numFmt w:val="decimal"/>
      <w:start w:val="1"/>
    </w:lvl>
    <w:lvl w:ilvl="1">
      <w:lvlJc w:val="left"/>
      <w:lvlText w:val="(%2)"/>
      <w:numFmt w:val="lowerLetter"/>
      <w:start w:val="1"/>
    </w:lvl>
  </w:abstractNum>
  <w:abstractNum w:abstractNumId="42">
    <w:nsid w:val="7FFFCA11"/>
    <w:multiLevelType w:val="hybridMultilevel"/>
    <w:lvl w:ilvl="0">
      <w:lvlJc w:val="left"/>
      <w:lvlText w:val="%1."/>
      <w:numFmt w:val="decimal"/>
      <w:start w:val="3"/>
    </w:lvl>
    <w:lvl w:ilvl="1">
      <w:lvlJc w:val="left"/>
      <w:lvlText w:val="%2"/>
      <w:numFmt w:val="lowerLetter"/>
      <w:start w:val="1"/>
    </w:lvl>
  </w:abstractNum>
  <w:abstractNum w:abstractNumId="43">
    <w:nsid w:val="1A27709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4">
    <w:nsid w:val="71EA1109"/>
    <w:multiLevelType w:val="hybridMultilevel"/>
    <w:lvl w:ilvl="0">
      <w:lvlJc w:val="left"/>
      <w:lvlText w:val="%1."/>
      <w:numFmt w:val="decimal"/>
      <w:start w:val="1"/>
    </w:lvl>
  </w:abstractNum>
  <w:abstractNum w:abstractNumId="45">
    <w:nsid w:val="100F59DC"/>
    <w:multiLevelType w:val="hybridMultilevel"/>
    <w:lvl w:ilvl="0">
      <w:lvlJc w:val="left"/>
      <w:lvlText w:val="%1."/>
      <w:numFmt w:val="decimal"/>
      <w:start w:val="2"/>
    </w:lvl>
  </w:abstractNum>
  <w:abstractNum w:abstractNumId="46">
    <w:nsid w:val="7FB7E0AA"/>
    <w:multiLevelType w:val="hybridMultilevel"/>
    <w:lvl w:ilvl="0">
      <w:lvlJc w:val="left"/>
      <w:lvlText w:val="%1."/>
      <w:numFmt w:val="decimal"/>
      <w:start w:val="3"/>
    </w:lvl>
  </w:abstractNum>
  <w:abstractNum w:abstractNumId="47">
    <w:nsid w:val="6EB5BD4"/>
    <w:multiLevelType w:val="hybridMultilevel"/>
    <w:lvl w:ilvl="0">
      <w:lvlJc w:val="left"/>
      <w:lvlText w:val="%1."/>
      <w:numFmt w:val="decimal"/>
      <w:start w:val="4"/>
    </w:lvl>
  </w:abstractNum>
  <w:abstractNum w:abstractNumId="48">
    <w:nsid w:val="6F6DD9AC"/>
    <w:multiLevelType w:val="hybridMultilevel"/>
    <w:lvl w:ilvl="0">
      <w:lvlJc w:val="left"/>
      <w:lvlText w:val="%1."/>
      <w:numFmt w:val="decimal"/>
      <w:start w:val="7"/>
    </w:lvl>
  </w:abstractNum>
  <w:abstractNum w:abstractNumId="49">
    <w:nsid w:val="94211F2"/>
    <w:multiLevelType w:val="hybridMultilevel"/>
    <w:lvl w:ilvl="0">
      <w:lvlJc w:val="left"/>
      <w:lvlText w:val="%1."/>
      <w:numFmt w:val="decimal"/>
      <w:start w:val="8"/>
    </w:lvl>
  </w:abstractNum>
  <w:abstractNum w:abstractNumId="50">
    <w:nsid w:val="885E1B"/>
    <w:multiLevelType w:val="hybridMultilevel"/>
    <w:lvl w:ilvl="0">
      <w:lvlJc w:val="left"/>
      <w:lvlText w:val="%1."/>
      <w:numFmt w:val="decimal"/>
      <w:start w:val="10"/>
    </w:lvl>
  </w:abstractNum>
  <w:abstractNum w:abstractNumId="51">
    <w:nsid w:val="76272110"/>
    <w:multiLevelType w:val="hybridMultilevel"/>
    <w:lvl w:ilvl="0">
      <w:lvlJc w:val="left"/>
      <w:lvlText w:val="%1."/>
      <w:numFmt w:val="decimal"/>
      <w:start w:val="11"/>
    </w:lvl>
  </w:abstractNum>
  <w:abstractNum w:abstractNumId="52">
    <w:nsid w:val="4C04A8AF"/>
    <w:multiLevelType w:val="hybridMultilevel"/>
    <w:lvl w:ilvl="0">
      <w:lvlJc w:val="left"/>
      <w:lvlText w:val="%1."/>
      <w:numFmt w:val="decimal"/>
      <w:start w:val="12"/>
    </w:lvl>
  </w:abstractNum>
  <w:abstractNum w:abstractNumId="53">
    <w:nsid w:val="1716703B"/>
    <w:multiLevelType w:val="hybridMultilevel"/>
    <w:lvl w:ilvl="0">
      <w:lvlJc w:val="left"/>
      <w:lvlText w:val="•"/>
      <w:numFmt w:val="bullet"/>
      <w:start w:val="1"/>
    </w:lvl>
  </w:abstractNum>
  <w:abstractNum w:abstractNumId="54">
    <w:nsid w:val="14E17E33"/>
    <w:multiLevelType w:val="hybridMultilevel"/>
    <w:lvl w:ilvl="0">
      <w:lvlJc w:val="left"/>
      <w:lvlText w:val="•"/>
      <w:numFmt w:val="bullet"/>
      <w:start w:val="1"/>
    </w:lvl>
  </w:abstractNum>
  <w:abstractNum w:abstractNumId="55">
    <w:nsid w:val="3222E7CD"/>
    <w:multiLevelType w:val="hybridMultilevel"/>
    <w:lvl w:ilvl="0">
      <w:lvlJc w:val="left"/>
      <w:lvlText w:val="%1."/>
      <w:numFmt w:val="decimal"/>
      <w:start w:val="13"/>
    </w:lvl>
  </w:abstractNum>
  <w:abstractNum w:abstractNumId="56">
    <w:nsid w:val="74DE0EE3"/>
    <w:multiLevelType w:val="hybridMultilevel"/>
    <w:lvl w:ilvl="0">
      <w:lvlJc w:val="left"/>
      <w:lvlText w:val="(%1)"/>
      <w:numFmt w:val="lowerRoman"/>
      <w:start w:val="1"/>
    </w:lvl>
  </w:abstractNum>
  <w:abstractNum w:abstractNumId="57">
    <w:nsid w:val="68EBC550"/>
    <w:multiLevelType w:val="hybridMultilevel"/>
    <w:lvl w:ilvl="0">
      <w:lvlJc w:val="left"/>
      <w:lvlText w:val="%1."/>
      <w:numFmt w:val="decimal"/>
      <w:start w:val="14"/>
    </w:lvl>
  </w:abstractNum>
  <w:abstractNum w:abstractNumId="58">
    <w:nsid w:val="2DF6D648"/>
    <w:multiLevelType w:val="hybridMultilevel"/>
    <w:lvl w:ilvl="0">
      <w:lvlJc w:val="left"/>
      <w:lvlText w:val="%1."/>
      <w:numFmt w:val="decimal"/>
      <w:start w:val="15"/>
    </w:lvl>
  </w:abstractNum>
  <w:abstractNum w:abstractNumId="59">
    <w:nsid w:val="46B7D447"/>
    <w:multiLevelType w:val="hybridMultilevel"/>
    <w:lvl w:ilvl="0">
      <w:lvlJc w:val="left"/>
      <w:lvlText w:val="%1."/>
      <w:numFmt w:val="decimal"/>
      <w:start w:val="16"/>
    </w:lvl>
  </w:abstractNum>
  <w:abstractNum w:abstractNumId="60">
    <w:nsid w:val="4A2AC315"/>
    <w:multiLevelType w:val="hybridMultilevel"/>
    <w:lvl w:ilvl="0">
      <w:lvlJc w:val="left"/>
      <w:lvlText w:val="%1."/>
      <w:numFmt w:val="decimal"/>
      <w:start w:val="17"/>
    </w:lvl>
  </w:abstractNum>
  <w:abstractNum w:abstractNumId="61">
    <w:nsid w:val="39EE015C"/>
    <w:multiLevelType w:val="hybridMultilevel"/>
    <w:lvl w:ilvl="0">
      <w:lvlJc w:val="left"/>
      <w:lvlText w:val="%1."/>
      <w:numFmt w:val="decimal"/>
      <w:start w:val="18"/>
    </w:lvl>
  </w:abstractNum>
  <w:abstractNum w:abstractNumId="62">
    <w:nsid w:val="57FC4FBB"/>
    <w:multiLevelType w:val="hybridMultilevel"/>
    <w:lvl w:ilvl="0">
      <w:lvlJc w:val="left"/>
      <w:lvlText w:val="%1."/>
      <w:numFmt w:val="decimal"/>
      <w:start w:val="19"/>
    </w:lvl>
  </w:abstractNum>
  <w:abstractNum w:abstractNumId="63">
    <w:nsid w:val="CC1016F"/>
    <w:multiLevelType w:val="hybridMultilevel"/>
    <w:lvl w:ilvl="0">
      <w:lvlJc w:val="left"/>
      <w:lvlText w:val="%1."/>
      <w:numFmt w:val="decimal"/>
      <w:start w:val="21"/>
    </w:lvl>
  </w:abstractNum>
  <w:abstractNum w:abstractNumId="64">
    <w:nsid w:val="43F18422"/>
    <w:multiLevelType w:val="hybridMultilevel"/>
    <w:lvl w:ilvl="0">
      <w:lvlJc w:val="left"/>
      <w:lvlText w:val="%1."/>
      <w:numFmt w:val="decimal"/>
      <w:start w:val="22"/>
    </w:lvl>
  </w:abstractNum>
  <w:abstractNum w:abstractNumId="65">
    <w:nsid w:val="60EF0119"/>
    <w:multiLevelType w:val="hybridMultilevel"/>
    <w:lvl w:ilvl="0">
      <w:lvlJc w:val="left"/>
      <w:lvlText w:val="%1."/>
      <w:numFmt w:val="decimal"/>
      <w:start w:val="23"/>
    </w:lvl>
  </w:abstractNum>
  <w:abstractNum w:abstractNumId="66">
    <w:nsid w:val="26F324BA"/>
    <w:multiLevelType w:val="hybridMultilevel"/>
    <w:lvl w:ilvl="0">
      <w:lvlJc w:val="left"/>
      <w:lvlText w:val="(%1)"/>
      <w:numFmt w:val="lowerLetter"/>
      <w:start w:val="1"/>
    </w:lvl>
  </w:abstractNum>
  <w:abstractNum w:abstractNumId="67">
    <w:nsid w:val="7F01579B"/>
    <w:multiLevelType w:val="hybridMultilevel"/>
    <w:lvl w:ilvl="0">
      <w:lvlJc w:val="left"/>
      <w:lvlText w:val="%1."/>
      <w:numFmt w:val="decimal"/>
      <w:start w:val="1"/>
    </w:lvl>
    <w:lvl w:ilvl="1">
      <w:lvlJc w:val="left"/>
      <w:lvlText w:val="(%2)"/>
      <w:numFmt w:val="lowerLetter"/>
      <w:start w:val="1"/>
    </w:lvl>
  </w:abstractNum>
  <w:abstractNum w:abstractNumId="68">
    <w:nsid w:val="49DA307D"/>
    <w:multiLevelType w:val="hybridMultilevel"/>
    <w:lvl w:ilvl="0">
      <w:lvlJc w:val="left"/>
      <w:lvlText w:val="%1"/>
      <w:numFmt w:val="decimal"/>
      <w:start w:val="1"/>
    </w:lvl>
    <w:lvl w:ilvl="1">
      <w:lvlJc w:val="left"/>
      <w:lvlText w:val="(%2)"/>
      <w:numFmt w:val="lowerLetter"/>
      <w:start w:val="2"/>
    </w:lvl>
  </w:abstractNum>
  <w:abstractNum w:abstractNumId="69">
    <w:nsid w:val="7055A5F5"/>
    <w:multiLevelType w:val="hybridMultilevel"/>
    <w:lvl w:ilvl="0">
      <w:lvlJc w:val="left"/>
      <w:lvlText w:val="%1."/>
      <w:numFmt w:val="decimal"/>
      <w:start w:val="3"/>
    </w:lvl>
    <w:lvl w:ilvl="1">
      <w:lvlJc w:val="left"/>
      <w:lvlText w:val="(%2)"/>
      <w:numFmt w:val="lowerLetter"/>
      <w:start w:val="1"/>
    </w:lvl>
  </w:abstractNum>
  <w:abstractNum w:abstractNumId="70">
    <w:nsid w:val="5FB8370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1">
    <w:nsid w:val="50801EE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2">
    <w:nsid w:val="488AC1A"/>
    <w:multiLevelType w:val="hybridMultilevel"/>
    <w:lvl w:ilvl="0">
      <w:lvlJc w:val="left"/>
      <w:lvlText w:val="%1."/>
      <w:numFmt w:val="decimal"/>
      <w:start w:val="7"/>
    </w:lvl>
    <w:lvl w:ilvl="1">
      <w:lvlJc w:val="left"/>
      <w:lvlText w:val="(%2)"/>
      <w:numFmt w:val="lowerLetter"/>
      <w:start w:val="1"/>
    </w:lvl>
  </w:abstractNum>
  <w:abstractNum w:abstractNumId="73">
    <w:nsid w:val="5FB8011C"/>
    <w:multiLevelType w:val="hybridMultilevel"/>
    <w:lvl w:ilvl="0">
      <w:lvlJc w:val="left"/>
      <w:lvlText w:val="%1."/>
      <w:numFmt w:val="decimal"/>
      <w:start w:val="12"/>
    </w:lvl>
  </w:abstractNum>
  <w:abstractNum w:abstractNumId="74">
    <w:nsid w:val="6AA78F7F"/>
    <w:multiLevelType w:val="hybridMultilevel"/>
    <w:lvl w:ilvl="0">
      <w:lvlJc w:val="left"/>
      <w:lvlText w:val="%1."/>
      <w:numFmt w:val="decimal"/>
      <w:start w:val="1"/>
    </w:lvl>
    <w:lvl w:ilvl="1">
      <w:lvlJc w:val="left"/>
      <w:lvlText w:val="(%2)"/>
      <w:numFmt w:val="lowerLetter"/>
      <w:start w:val="1"/>
    </w:lvl>
  </w:abstractNum>
  <w:abstractNum w:abstractNumId="75">
    <w:nsid w:val="7672BD2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76">
    <w:nsid w:val="6FC75AF8"/>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77">
    <w:nsid w:val="6A5F7029"/>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78">
    <w:nsid w:val="7D5E18F8"/>
    <w:multiLevelType w:val="hybridMultilevel"/>
    <w:lvl w:ilvl="0">
      <w:lvlJc w:val="left"/>
      <w:lvlText w:val="%1."/>
      <w:numFmt w:val="decimal"/>
      <w:start w:val="6"/>
    </w:lvl>
  </w:abstractNum>
  <w:abstractNum w:abstractNumId="79">
    <w:nsid w:val="5F3534A4"/>
    <w:multiLevelType w:val="hybridMultilevel"/>
    <w:lvl w:ilvl="0">
      <w:lvlJc w:val="left"/>
      <w:lvlText w:val="%1."/>
      <w:numFmt w:val="decimal"/>
      <w:start w:val="12"/>
    </w:lvl>
  </w:abstractNum>
  <w:abstractNum w:abstractNumId="80">
    <w:nsid w:val="73A1821B"/>
    <w:multiLevelType w:val="hybridMultilevel"/>
    <w:lvl w:ilvl="0">
      <w:lvlJc w:val="left"/>
      <w:lvlText w:val="%1."/>
      <w:numFmt w:val="decimal"/>
      <w:start w:val="1"/>
    </w:lvl>
  </w:abstractNum>
  <w:abstractNum w:abstractNumId="81">
    <w:nsid w:val="7DE67713"/>
    <w:multiLevelType w:val="hybridMultilevel"/>
    <w:lvl w:ilvl="0">
      <w:lvlJc w:val="left"/>
      <w:lvlText w:val="%1."/>
      <w:numFmt w:val="decimal"/>
      <w:start w:val="2"/>
    </w:lvl>
    <w:lvl w:ilvl="1">
      <w:lvlJc w:val="left"/>
      <w:lvlText w:val="(%2)"/>
      <w:numFmt w:val="lowerLetter"/>
      <w:start w:val="1"/>
    </w:lvl>
  </w:abstractNum>
  <w:abstractNum w:abstractNumId="82">
    <w:nsid w:val="555C55B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83">
    <w:nsid w:val="3FA62ACA"/>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84">
    <w:nsid w:val="14FCE74E"/>
    <w:multiLevelType w:val="hybridMultilevel"/>
    <w:lvl w:ilvl="0">
      <w:lvlJc w:val="left"/>
      <w:lvlText w:val="(%1)"/>
      <w:numFmt w:val="lowerLetter"/>
      <w:start w:val="9"/>
    </w:lvl>
    <w:lvl w:ilvl="1">
      <w:lvlJc w:val="left"/>
      <w:lvlText w:val="%2."/>
      <w:numFmt w:val="decimal"/>
      <w:start w:val="6"/>
    </w:lvl>
    <w:lvl w:ilvl="2">
      <w:lvlJc w:val="left"/>
      <w:lvlText w:val="%3"/>
      <w:numFmt w:val="lowerLetter"/>
      <w:start w:val="1"/>
    </w:lvl>
  </w:abstractNum>
  <w:abstractNum w:abstractNumId="85">
    <w:nsid w:val="6A3DD3E8"/>
    <w:multiLevelType w:val="hybridMultilevel"/>
    <w:lvl w:ilvl="0">
      <w:lvlJc w:val="left"/>
      <w:lvlText w:val="%1."/>
      <w:numFmt w:val="decimal"/>
      <w:start w:val="7"/>
    </w:lvl>
  </w:abstractNum>
  <w:abstractNum w:abstractNumId="86">
    <w:nsid w:val="71C91298"/>
    <w:multiLevelType w:val="hybridMultilevel"/>
    <w:lvl w:ilvl="0">
      <w:lvlJc w:val="left"/>
      <w:lvlText w:val="%1."/>
      <w:numFmt w:val="decimal"/>
      <w:start w:val="14"/>
    </w:lvl>
  </w:abstractNum>
  <w:abstractNum w:abstractNumId="87">
    <w:nsid w:val="9DAF632"/>
    <w:multiLevelType w:val="hybridMultilevel"/>
    <w:lvl w:ilvl="0">
      <w:lvlJc w:val="left"/>
      <w:lvlText w:val="1"/>
      <w:numFmt w:val="bullet"/>
      <w:start w:val="1"/>
    </w:lvl>
  </w:abstractNum>
  <w:abstractNum w:abstractNumId="88">
    <w:nsid w:val="53299938"/>
    <w:multiLevelType w:val="hybridMultilevel"/>
    <w:lvl w:ilvl="0">
      <w:lvlJc w:val="left"/>
      <w:lvlText w:val="2"/>
      <w:numFmt w:val="bullet"/>
      <w:start w:val="1"/>
    </w:lvl>
  </w:abstractNum>
  <w:abstractNum w:abstractNumId="89">
    <w:nsid w:val="1FBFE8E0"/>
    <w:multiLevelType w:val="hybridMultilevel"/>
    <w:lvl w:ilvl="0">
      <w:lvlJc w:val="left"/>
      <w:lvlText w:val="3"/>
      <w:numFmt w:val="bullet"/>
      <w:start w:val="1"/>
    </w:lvl>
  </w:abstractNum>
  <w:abstractNum w:abstractNumId="90">
    <w:nsid w:val="5092CA79"/>
    <w:multiLevelType w:val="hybridMultilevel"/>
    <w:lvl w:ilvl="0">
      <w:lvlJc w:val="left"/>
      <w:lvlText w:val="4"/>
      <w:numFmt w:val="bullet"/>
      <w:start w:val="1"/>
    </w:lvl>
  </w:abstractNum>
  <w:abstractNum w:abstractNumId="91">
    <w:nsid w:val="1D545C4D"/>
    <w:multiLevelType w:val="hybridMultilevel"/>
    <w:lvl w:ilvl="0">
      <w:lvlJc w:val="left"/>
      <w:lvlText w:val="%1."/>
      <w:numFmt w:val="decimal"/>
      <w:start w:val="1"/>
    </w:lvl>
    <w:lvl w:ilvl="1">
      <w:lvlJc w:val="left"/>
      <w:lvlText w:val="(%2)"/>
      <w:numFmt w:val="lowerLetter"/>
      <w:start w:val="1"/>
    </w:lvl>
  </w:abstractNum>
  <w:abstractNum w:abstractNumId="92">
    <w:nsid w:val="59ADEA3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93">
    <w:nsid w:val="288F1A3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94">
    <w:nsid w:val="2A155DBC"/>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95">
    <w:nsid w:val="1D9F6E5F"/>
    <w:multiLevelType w:val="hybridMultilevel"/>
    <w:lvl w:ilvl="0">
      <w:lvlJc w:val="left"/>
      <w:lvlText w:val="(%1)"/>
      <w:numFmt w:val="lowerLetter"/>
      <w:start w:val="35"/>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96">
    <w:nsid w:val="97E1B4E"/>
    <w:multiLevelType w:val="hybridMultilevel"/>
    <w:lvl w:ilvl="0">
      <w:lvlJc w:val="left"/>
      <w:lvlText w:val="%1."/>
      <w:numFmt w:val="decimal"/>
      <w:start w:val="7"/>
    </w:lvl>
  </w:abstractNum>
  <w:abstractNum w:abstractNumId="97">
    <w:nsid w:val="51088277"/>
    <w:multiLevelType w:val="hybridMultilevel"/>
    <w:lvl w:ilvl="0">
      <w:lvlJc w:val="left"/>
      <w:lvlText w:val="%1."/>
      <w:numFmt w:val="decimal"/>
      <w:start w:val="12"/>
    </w:lvl>
  </w:abstractNum>
  <w:abstractNum w:abstractNumId="98">
    <w:nsid w:val="1CA0C5FA"/>
    <w:multiLevelType w:val="hybridMultilevel"/>
    <w:lvl w:ilvl="0">
      <w:lvlJc w:val="left"/>
      <w:lvlText w:val="%1."/>
      <w:numFmt w:val="decimal"/>
      <w:start w:val="1"/>
    </w:lvl>
    <w:lvl w:ilvl="1">
      <w:lvlJc w:val="left"/>
      <w:lvlText w:val="(%2)"/>
      <w:numFmt w:val="lowerLetter"/>
      <w:start w:val="1"/>
    </w:lvl>
  </w:abstractNum>
  <w:abstractNum w:abstractNumId="99">
    <w:nsid w:val="53584BCB"/>
    <w:multiLevelType w:val="hybridMultilevel"/>
    <w:lvl w:ilvl="0">
      <w:lvlJc w:val="left"/>
      <w:lvlText w:val="(%1)"/>
      <w:numFmt w:val="lowerLetter"/>
      <w:start w:val="2"/>
    </w:lvl>
  </w:abstractNum>
  <w:abstractNum w:abstractNumId="100">
    <w:nsid w:val="415E286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1">
    <w:nsid w:val="7C58FD0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2">
    <w:nsid w:val="23D86AAC"/>
    <w:multiLevelType w:val="hybridMultilevel"/>
    <w:lvl w:ilvl="0">
      <w:lvlJc w:val="left"/>
      <w:lvlText w:val="(%1)"/>
      <w:numFmt w:val="lowerRoman"/>
      <w:start w:val="6"/>
    </w:lvl>
  </w:abstractNum>
  <w:abstractNum w:abstractNumId="103">
    <w:nsid w:val="45E6D486"/>
    <w:multiLevelType w:val="hybridMultilevel"/>
    <w:lvl w:ilvl="0">
      <w:lvlJc w:val="left"/>
      <w:lvlText w:val="(%1)"/>
      <w:numFmt w:val="lowerRoman"/>
      <w:start w:val="1"/>
    </w:lvl>
  </w:abstractNum>
  <w:abstractNum w:abstractNumId="104">
    <w:nsid w:val="5C10FE21"/>
    <w:multiLevelType w:val="hybridMultilevel"/>
    <w:lvl w:ilvl="0">
      <w:lvlJc w:val="left"/>
      <w:lvlText w:val="%1."/>
      <w:numFmt w:val="decimal"/>
      <w:start w:val="4"/>
    </w:lvl>
  </w:abstractNum>
  <w:abstractNum w:abstractNumId="105">
    <w:nsid w:val="E7FFA2B"/>
    <w:multiLevelType w:val="hybridMultilevel"/>
    <w:lvl w:ilvl="0">
      <w:lvlJc w:val="left"/>
      <w:lvlText w:val="%1."/>
      <w:numFmt w:val="decimal"/>
      <w:start w:val="5"/>
    </w:lvl>
    <w:lvl w:ilvl="1">
      <w:lvlJc w:val="left"/>
      <w:lvlText w:val="(%2)"/>
      <w:numFmt w:val="lowerLetter"/>
      <w:start w:val="1"/>
    </w:lvl>
  </w:abstractNum>
  <w:abstractNum w:abstractNumId="106">
    <w:nsid w:val="3C5991AA"/>
    <w:multiLevelType w:val="hybridMultilevel"/>
    <w:lvl w:ilvl="0">
      <w:lvlJc w:val="left"/>
      <w:lvlText w:val="%1."/>
      <w:numFmt w:val="decimal"/>
      <w:start w:val="10"/>
    </w:lvl>
  </w:abstractNum>
  <w:abstractNum w:abstractNumId="107">
    <w:nsid w:val="4BD8591A"/>
    <w:multiLevelType w:val="hybridMultilevel"/>
    <w:lvl w:ilvl="0">
      <w:lvlJc w:val="left"/>
      <w:lvlText w:val="(%1)"/>
      <w:numFmt w:val="lowerLetter"/>
      <w:start w:val="1"/>
    </w:lvl>
  </w:abstractNum>
  <w:abstractNum w:abstractNumId="108">
    <w:nsid w:val="78DF6A55"/>
    <w:multiLevelType w:val="hybridMultilevel"/>
    <w:lvl w:ilvl="0">
      <w:lvlJc w:val="left"/>
      <w:lvlText w:val="(%1)"/>
      <w:numFmt w:val="lowerLetter"/>
      <w:start w:val="2"/>
    </w:lvl>
  </w:abstractNum>
  <w:abstractNum w:abstractNumId="109">
    <w:nsid w:val="39B7AAA2"/>
    <w:multiLevelType w:val="hybridMultilevel"/>
    <w:lvl w:ilvl="0">
      <w:lvlJc w:val="left"/>
      <w:lvlText w:val="(%1)"/>
      <w:numFmt w:val="lowerLetter"/>
      <w:start w:val="1"/>
    </w:lvl>
  </w:abstractNum>
  <w:abstractNum w:abstractNumId="110">
    <w:nsid w:val="2B0D8DBE"/>
    <w:multiLevelType w:val="hybridMultilevel"/>
    <w:lvl w:ilvl="0">
      <w:lvlJc w:val="left"/>
      <w:lvlText w:val="(%1)"/>
      <w:numFmt w:val="lowerLetter"/>
      <w:start w:val="1"/>
    </w:lvl>
  </w:abstractNum>
  <w:abstractNum w:abstractNumId="111">
    <w:nsid w:val="6C80EC70"/>
    <w:multiLevelType w:val="hybridMultilevel"/>
    <w:lvl w:ilvl="0">
      <w:lvlJc w:val="left"/>
      <w:lvlText w:val="%1."/>
      <w:numFmt w:val="decimal"/>
      <w:start w:val="1"/>
    </w:lvl>
  </w:abstractNum>
  <w:abstractNum w:abstractNumId="112">
    <w:nsid w:val="379E21B5"/>
    <w:multiLevelType w:val="hybridMultilevel"/>
    <w:lvl w:ilvl="0">
      <w:lvlJc w:val="left"/>
      <w:lvlText w:val="•"/>
      <w:numFmt w:val="bullet"/>
      <w:start w:val="1"/>
    </w:lvl>
  </w:abstractNum>
  <w:abstractNum w:abstractNumId="113">
    <w:nsid w:val="69E373"/>
    <w:multiLevelType w:val="hybridMultilevel"/>
    <w:lvl w:ilvl="0">
      <w:lvlJc w:val="left"/>
      <w:lvlText w:val="•"/>
      <w:numFmt w:val="bullet"/>
      <w:start w:val="1"/>
    </w:lvl>
  </w:abstractNum>
  <w:abstractNum w:abstractNumId="114">
    <w:nsid w:val="2C27173B"/>
    <w:multiLevelType w:val="hybridMultilevel"/>
    <w:lvl w:ilvl="0">
      <w:lvlJc w:val="left"/>
      <w:lvlText w:val="%1."/>
      <w:numFmt w:val="decimal"/>
      <w:start w:val="1"/>
    </w:lvl>
  </w:abstractNum>
  <w:abstractNum w:abstractNumId="115">
    <w:nsid w:val="4C9B0904"/>
    <w:multiLevelType w:val="hybridMultilevel"/>
    <w:lvl w:ilvl="0">
      <w:lvlJc w:val="left"/>
      <w:lvlText w:val="•"/>
      <w:numFmt w:val="bullet"/>
      <w:start w:val="1"/>
    </w:lvl>
  </w:abstractNum>
  <w:abstractNum w:abstractNumId="116">
    <w:nsid w:val="6AA7B75C"/>
    <w:multiLevelType w:val="hybridMultilevel"/>
    <w:lvl w:ilvl="0">
      <w:lvlJc w:val="left"/>
      <w:lvlText w:val="•"/>
      <w:numFmt w:val="bullet"/>
      <w:start w:val="1"/>
    </w:lvl>
  </w:abstractNum>
  <w:abstractNum w:abstractNumId="117">
    <w:nsid w:val="1DF029D3"/>
    <w:multiLevelType w:val="hybridMultilevel"/>
    <w:lvl w:ilvl="0">
      <w:lvlJc w:val="left"/>
      <w:lvlText w:val="•"/>
      <w:numFmt w:val="bullet"/>
      <w:start w:val="1"/>
    </w:lvl>
  </w:abstractNum>
  <w:abstractNum w:abstractNumId="118">
    <w:nsid w:val="5675FF36"/>
    <w:multiLevelType w:val="hybridMultilevel"/>
    <w:lvl w:ilvl="0">
      <w:lvlJc w:val="left"/>
      <w:lvlText w:val="%1."/>
      <w:numFmt w:val="decimal"/>
      <w:start w:val="1"/>
    </w:lvl>
    <w:lvl w:ilvl="1">
      <w:lvlJc w:val="left"/>
      <w:lvlText w:val="%2)"/>
      <w:numFmt w:val="lowerLetter"/>
      <w:start w:val="1"/>
    </w:lvl>
  </w:abstractNum>
  <w:abstractNum w:abstractNumId="119">
    <w:nsid w:val="3DD15094"/>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20">
    <w:nsid w:val="3DB012B3"/>
    <w:multiLevelType w:val="hybridMultilevel"/>
    <w:lvl w:ilvl="0">
      <w:lvlJc w:val="left"/>
      <w:lvlText w:val="%1."/>
      <w:numFmt w:val="decimal"/>
      <w:start w:val="1"/>
    </w:lvl>
  </w:abstractNum>
  <w:abstractNum w:abstractNumId="121">
    <w:nsid w:val="2708C9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2019-12-14T16:13:40Z</dcterms:created>
  <dcterms:modified xsi:type="dcterms:W3CDTF">2019-12-14T16:13:40Z</dcterms:modified>
</cp:coreProperties>
</file>