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Mail Stop 3561</w:t>
      </w:r>
    </w:p>
    <w:p>
      <w:pPr>
        <w:jc w:val="right"/>
        <w:ind w:right="1999"/>
        <w:spacing w:after="0" w:line="238" w:lineRule="auto"/>
        <w:rPr>
          <w:sz w:val="20"/>
          <w:szCs w:val="20"/>
          <w:color w:val="auto"/>
        </w:rPr>
      </w:pPr>
      <w:r>
        <w:rPr>
          <w:rFonts w:ascii="Courier New" w:cs="Courier New" w:eastAsia="Courier New" w:hAnsi="Courier New"/>
          <w:sz w:val="18"/>
          <w:szCs w:val="18"/>
          <w:color w:val="auto"/>
        </w:rPr>
        <w:t>March 28, 2006</w:t>
      </w:r>
    </w:p>
    <w:p>
      <w:pPr>
        <w:spacing w:after="0"/>
        <w:rPr>
          <w:sz w:val="20"/>
          <w:szCs w:val="20"/>
          <w:color w:val="auto"/>
        </w:rPr>
      </w:pPr>
      <w:r>
        <w:rPr>
          <w:rFonts w:ascii="Courier New" w:cs="Courier New" w:eastAsia="Courier New" w:hAnsi="Courier New"/>
          <w:sz w:val="18"/>
          <w:szCs w:val="18"/>
          <w:color w:val="auto"/>
        </w:rPr>
        <w:t>Tracey T. Travis</w:t>
      </w:r>
    </w:p>
    <w:p>
      <w:pPr>
        <w:spacing w:after="0" w:line="237" w:lineRule="auto"/>
        <w:rPr>
          <w:sz w:val="20"/>
          <w:szCs w:val="20"/>
          <w:color w:val="auto"/>
        </w:rPr>
      </w:pPr>
      <w:r>
        <w:rPr>
          <w:rFonts w:ascii="Courier New" w:cs="Courier New" w:eastAsia="Courier New" w:hAnsi="Courier New"/>
          <w:sz w:val="18"/>
          <w:szCs w:val="18"/>
          <w:color w:val="auto"/>
        </w:rPr>
        <w:t>Senior Vice President and</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rPr>
          <w:sz w:val="20"/>
          <w:szCs w:val="20"/>
          <w:color w:val="auto"/>
        </w:rPr>
      </w:pPr>
      <w:r>
        <w:rPr>
          <w:rFonts w:ascii="Courier New" w:cs="Courier New" w:eastAsia="Courier New" w:hAnsi="Courier New"/>
          <w:sz w:val="18"/>
          <w:szCs w:val="18"/>
          <w:color w:val="auto"/>
        </w:rPr>
        <w:t>Polo Ralph Lauren Corporation</w:t>
      </w:r>
    </w:p>
    <w:p>
      <w:pPr>
        <w:spacing w:after="0" w:line="237" w:lineRule="auto"/>
        <w:rPr>
          <w:sz w:val="20"/>
          <w:szCs w:val="20"/>
          <w:color w:val="auto"/>
        </w:rPr>
      </w:pPr>
      <w:r>
        <w:rPr>
          <w:rFonts w:ascii="Courier New" w:cs="Courier New" w:eastAsia="Courier New" w:hAnsi="Courier New"/>
          <w:sz w:val="18"/>
          <w:szCs w:val="18"/>
          <w:color w:val="auto"/>
        </w:rPr>
        <w:t>650 Madison Avenue</w:t>
      </w:r>
    </w:p>
    <w:p>
      <w:pPr>
        <w:spacing w:after="0"/>
        <w:tabs>
          <w:tab w:leader="none" w:pos="146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10022</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Polo Ralph Lauren Corporation</w:t>
      </w:r>
    </w:p>
    <w:p>
      <w:pPr>
        <w:spacing w:after="0" w:line="238" w:lineRule="auto"/>
        <w:rPr>
          <w:sz w:val="20"/>
          <w:szCs w:val="20"/>
          <w:color w:val="auto"/>
        </w:rPr>
      </w:pPr>
      <w:r>
        <w:rPr>
          <w:rFonts w:ascii="Courier New" w:cs="Courier New" w:eastAsia="Courier New" w:hAnsi="Courier New"/>
          <w:sz w:val="18"/>
          <w:szCs w:val="18"/>
          <w:color w:val="auto"/>
        </w:rPr>
        <w:t>Form 10-K for the Fiscal Year Ended April 2, 2005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10-Q for the Quarterly Period Ended December 31,</w:t>
      </w:r>
    </w:p>
    <w:p>
      <w:pPr>
        <w:spacing w:after="0" w:line="16" w:lineRule="exact"/>
        <w:rPr>
          <w:sz w:val="24"/>
          <w:szCs w:val="24"/>
          <w:color w:val="auto"/>
        </w:rPr>
      </w:pPr>
    </w:p>
    <w:p>
      <w:pPr>
        <w:sectPr>
          <w:pgSz w:w="11900" w:h="16838" w:orient="portrait"/>
          <w:cols w:equalWidth="0" w:num="2">
            <w:col w:w="980" w:space="720"/>
            <w:col w:w="8519"/>
          </w:cols>
          <w:pgMar w:left="240" w:top="1055"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2005</w:t>
      </w:r>
    </w:p>
    <w:p>
      <w:pPr>
        <w:spacing w:after="0" w:line="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File No. 1-13057</w:t>
      </w:r>
    </w:p>
    <w:p>
      <w:pPr>
        <w:sectPr>
          <w:pgSz w:w="11900" w:h="16838" w:orient="portrait"/>
          <w:cols w:equalWidth="0" w:num="1">
            <w:col w:w="10219"/>
          </w:cols>
          <w:pgMar w:left="240" w:top="1055" w:right="1440" w:bottom="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Ms. Travis</w:t>
      </w:r>
    </w:p>
    <w:p>
      <w:pPr>
        <w:spacing w:after="0" w:line="207" w:lineRule="exact"/>
        <w:rPr>
          <w:sz w:val="24"/>
          <w:szCs w:val="24"/>
          <w:color w:val="auto"/>
        </w:rPr>
      </w:pPr>
    </w:p>
    <w:p>
      <w:pPr>
        <w:ind w:right="4099" w:firstLine="632"/>
        <w:spacing w:after="0" w:line="235" w:lineRule="auto"/>
        <w:rPr>
          <w:sz w:val="20"/>
          <w:szCs w:val="20"/>
          <w:color w:val="auto"/>
        </w:rPr>
      </w:pPr>
      <w:r>
        <w:rPr>
          <w:rFonts w:ascii="Courier New" w:cs="Courier New" w:eastAsia="Courier New" w:hAnsi="Courier New"/>
          <w:sz w:val="18"/>
          <w:szCs w:val="18"/>
          <w:color w:val="auto"/>
        </w:rPr>
        <w:t>We have reviewed your filings and have the following comments.</w:t>
      </w:r>
    </w:p>
    <w:p>
      <w:pPr>
        <w:spacing w:after="0" w:line="6" w:lineRule="exact"/>
        <w:rPr>
          <w:sz w:val="24"/>
          <w:szCs w:val="24"/>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We have limited our review of your filings to those issues we have addressed in our comments. Please provide a written response to our</w:t>
      </w:r>
    </w:p>
    <w:p>
      <w:pPr>
        <w:spacing w:after="0" w:line="6" w:lineRule="exact"/>
        <w:rPr>
          <w:sz w:val="24"/>
          <w:szCs w:val="24"/>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comments. Please be as detailed as necessary in your explanations.</w:t>
      </w:r>
    </w:p>
    <w:p>
      <w:pPr>
        <w:spacing w:after="0" w:line="6" w:lineRule="exact"/>
        <w:rPr>
          <w:sz w:val="24"/>
          <w:szCs w:val="24"/>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In some of our comments, we may ask you to provide us with information so we may better understand your disclosure. After reviewing this information, we may raise additional comments.</w:t>
      </w:r>
    </w:p>
    <w:p>
      <w:pPr>
        <w:spacing w:after="0" w:line="178"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10-K for the Fiscal Year Ended April 2,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 page F-10</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Significant Accounting Policies, page F-10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Revenue Recognition, page F-11</w:t>
      </w:r>
    </w:p>
    <w:p>
      <w:pPr>
        <w:spacing w:after="0" w:line="201"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when you recognize revenues from products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ordered</w:t>
      </w:r>
    </w:p>
    <w:p>
      <w:pPr>
        <w:spacing w:after="0" w:line="4"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through your web-site. If web-site orders and/or wholesale orders are shipped using FOB destination terms, tell us whether you estimate</w:t>
      </w:r>
    </w:p>
    <w:p>
      <w:pPr>
        <w:spacing w:after="0" w:line="6" w:lineRule="exact"/>
        <w:rPr>
          <w:rFonts w:ascii="Courier New" w:cs="Courier New" w:eastAsia="Courier New" w:hAnsi="Courier New"/>
          <w:sz w:val="18"/>
          <w:szCs w:val="18"/>
          <w:color w:val="auto"/>
        </w:rPr>
      </w:pPr>
    </w:p>
    <w:p>
      <w:pPr>
        <w:ind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dates and the significant assumptions you use to do so. If</w:t>
      </w:r>
    </w:p>
    <w:p>
      <w:pPr>
        <w:spacing w:after="0" w:line="5"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applicable, please also tell us how you assess the accuracy of your</w:t>
      </w:r>
    </w:p>
    <w:p>
      <w:pPr>
        <w:spacing w:after="0" w:line="5"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estimates given the variability among carriers, methods of transit and on-time performance. In addition, please tell us the amount of</w:t>
      </w:r>
    </w:p>
    <w:p>
      <w:pPr>
        <w:spacing w:after="0" w:line="6" w:lineRule="exact"/>
        <w:rPr>
          <w:rFonts w:ascii="Courier New" w:cs="Courier New" w:eastAsia="Courier New" w:hAnsi="Courier New"/>
          <w:sz w:val="18"/>
          <w:szCs w:val="18"/>
          <w:color w:val="auto"/>
        </w:rPr>
      </w:pPr>
    </w:p>
    <w:p>
      <w:pPr>
        <w:ind w:right="3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revenue, and balance sheet classification, at each balance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sheet date.</w:t>
      </w:r>
    </w:p>
    <w:p>
      <w:pPr>
        <w:spacing w:after="0" w:line="207" w:lineRule="exact"/>
        <w:rPr>
          <w:rFonts w:ascii="Courier New" w:cs="Courier New" w:eastAsia="Courier New" w:hAnsi="Courier New"/>
          <w:sz w:val="18"/>
          <w:szCs w:val="18"/>
          <w:color w:val="auto"/>
        </w:rPr>
      </w:pPr>
    </w:p>
    <w:p>
      <w:pPr>
        <w:ind w:right="3479" w:firstLine="8"/>
        <w:spacing w:after="0" w:line="236"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per review of your web site that you sell gift cards. Please tell us the amount of gift cards you sold in fiscal 2005 and</w:t>
      </w:r>
    </w:p>
    <w:p>
      <w:pPr>
        <w:spacing w:after="0" w:line="6" w:lineRule="exact"/>
        <w:rPr>
          <w:rFonts w:ascii="Courier New" w:cs="Courier New" w:eastAsia="Courier New" w:hAnsi="Courier New"/>
          <w:sz w:val="18"/>
          <w:szCs w:val="18"/>
          <w:color w:val="auto"/>
        </w:rPr>
      </w:pPr>
    </w:p>
    <w:p>
      <w:pPr>
        <w:ind w:right="3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2004. Please also tell us your accounting policies related to gift</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cards, including those related to recognition of revenue and breakage.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Advertising, page F-14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 Please explain to us why you believe that consideration paid to</w:t>
      </w:r>
    </w:p>
    <w:p>
      <w:pPr>
        <w:sectPr>
          <w:pgSz w:w="11900" w:h="16838" w:orient="portrait"/>
          <w:cols w:equalWidth="0" w:num="1">
            <w:col w:w="10219"/>
          </w:cols>
          <w:pgMar w:left="240" w:top="1055" w:right="1440" w:bottom="0" w:gutter="0" w:footer="0" w:header="0"/>
          <w:type w:val="continuous"/>
        </w:sectPr>
      </w:pPr>
    </w:p>
    <w:bookmarkStart w:id="1" w:name="page2"/>
    <w:bookmarkEnd w:id="1"/>
    <w:p>
      <w:pPr>
        <w:jc w:val="both"/>
        <w:ind w:right="4319"/>
        <w:spacing w:after="0" w:line="236" w:lineRule="auto"/>
        <w:rPr>
          <w:sz w:val="20"/>
          <w:szCs w:val="20"/>
          <w:color w:val="auto"/>
        </w:rPr>
      </w:pPr>
      <w:r>
        <w:rPr>
          <w:rFonts w:ascii="Courier New" w:cs="Courier New" w:eastAsia="Courier New" w:hAnsi="Courier New"/>
          <w:sz w:val="18"/>
          <w:szCs w:val="18"/>
          <w:color w:val="auto"/>
        </w:rPr>
        <w:t>customers under your cooperative advertising programs is appropriately characterized as SG&amp;A expense based on the conditions</w:t>
      </w:r>
    </w:p>
    <w:p>
      <w:pPr>
        <w:spacing w:after="0" w:line="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in Issue 1 of EITF 01-9.</w:t>
      </w:r>
      <w:r>
        <w:rPr>
          <w:sz w:val="20"/>
          <w:szCs w:val="20"/>
          <w:color w:val="auto"/>
        </w:rPr>
        <w:tab/>
      </w:r>
      <w:r>
        <w:rPr>
          <w:rFonts w:ascii="Courier New" w:cs="Courier New" w:eastAsia="Courier New" w:hAnsi="Courier New"/>
          <w:sz w:val="16"/>
          <w:szCs w:val="16"/>
          <w:color w:val="auto"/>
        </w:rPr>
        <w:t>In doing so, please tell us:</w:t>
      </w:r>
    </w:p>
    <w:p>
      <w:pPr>
        <w:spacing w:after="0" w:line="207" w:lineRule="exact"/>
        <w:rPr>
          <w:sz w:val="20"/>
          <w:szCs w:val="20"/>
          <w:color w:val="auto"/>
        </w:rPr>
      </w:pPr>
    </w:p>
    <w:p>
      <w:pPr>
        <w:ind w:right="409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of your cooperative advertising programs,</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related terms and conditions contained in customer agreements and</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nature and extent of documentation you require from customers to</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qualify for the allowances;</w:t>
      </w:r>
    </w:p>
    <w:p>
      <w:pPr>
        <w:spacing w:after="0" w:line="207" w:lineRule="exact"/>
        <w:rPr>
          <w:rFonts w:ascii="Courier New" w:cs="Courier New" w:eastAsia="Courier New" w:hAnsi="Courier New"/>
          <w:sz w:val="18"/>
          <w:szCs w:val="18"/>
          <w:color w:val="auto"/>
        </w:rPr>
      </w:pPr>
    </w:p>
    <w:p>
      <w:pPr>
        <w:ind w:right="4199" w:firstLine="8"/>
        <w:spacing w:after="0" w:line="290" w:lineRule="auto"/>
        <w:tabs>
          <w:tab w:leader="none" w:pos="21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Why you believe the advertising benefits you receive is sufficiently separable from purchases of your products;</w:t>
      </w:r>
    </w:p>
    <w:p>
      <w:pPr>
        <w:spacing w:after="0" w:line="169" w:lineRule="exact"/>
        <w:rPr>
          <w:rFonts w:ascii="Courier New" w:cs="Courier New" w:eastAsia="Courier New" w:hAnsi="Courier New"/>
          <w:sz w:val="16"/>
          <w:szCs w:val="16"/>
          <w:color w:val="auto"/>
        </w:rPr>
      </w:pPr>
    </w:p>
    <w:p>
      <w:pPr>
        <w:ind w:right="325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you determine the fair value of the advertising benefits you receive; and</w:t>
      </w:r>
    </w:p>
    <w:p>
      <w:pPr>
        <w:spacing w:after="0" w:line="208" w:lineRule="exact"/>
        <w:rPr>
          <w:rFonts w:ascii="Courier New" w:cs="Courier New" w:eastAsia="Courier New" w:hAnsi="Courier New"/>
          <w:sz w:val="18"/>
          <w:szCs w:val="18"/>
          <w:color w:val="auto"/>
        </w:rPr>
      </w:pPr>
    </w:p>
    <w:p>
      <w:pPr>
        <w:ind w:right="357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you determine that the consideration paid does not exceed the</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fair value of the advertising benefits received.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Acquisitions and Joint Venture, page F-20</w:t>
      </w:r>
    </w:p>
    <w:p>
      <w:pPr>
        <w:spacing w:after="0" w:line="207" w:lineRule="exact"/>
        <w:rPr>
          <w:sz w:val="20"/>
          <w:szCs w:val="20"/>
          <w:color w:val="auto"/>
        </w:rPr>
      </w:pPr>
    </w:p>
    <w:p>
      <w:pPr>
        <w:ind w:right="3359" w:firstLine="8"/>
        <w:spacing w:after="0" w:line="237"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tell us the methodology you used to determine the fair value of the intangible assets you identified and recognized upon your purchase of RL Childrenswear Company. Please also tell us how</w:t>
      </w:r>
    </w:p>
    <w:p>
      <w:pPr>
        <w:spacing w:after="0" w:line="4" w:lineRule="exact"/>
        <w:rPr>
          <w:rFonts w:ascii="Courier New" w:cs="Courier New" w:eastAsia="Courier New" w:hAnsi="Courier New"/>
          <w:sz w:val="18"/>
          <w:szCs w:val="18"/>
          <w:color w:val="auto"/>
        </w:rPr>
      </w:pPr>
    </w:p>
    <w:p>
      <w:pPr>
        <w:ind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you treated the license agreement and order backlog of RL Childrenswear in your determination of intangible assets that should</w:t>
      </w:r>
    </w:p>
    <w:p>
      <w:pPr>
        <w:spacing w:after="0" w:line="6" w:lineRule="exact"/>
        <w:rPr>
          <w:rFonts w:ascii="Courier New" w:cs="Courier New" w:eastAsia="Courier New" w:hAnsi="Courier New"/>
          <w:sz w:val="18"/>
          <w:szCs w:val="18"/>
          <w:color w:val="auto"/>
        </w:rPr>
      </w:pPr>
    </w:p>
    <w:p>
      <w:pPr>
        <w:ind w:right="35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recognized apart from goodwill. Finally, please tell us the primary reasons for the acquisition of RL Childrenswear and the factors that contributed to a purchase price that resulted in recognition of goodwill.</w:t>
      </w:r>
    </w:p>
    <w:p>
      <w:pPr>
        <w:spacing w:after="0" w:line="207" w:lineRule="exact"/>
        <w:rPr>
          <w:rFonts w:ascii="Courier New" w:cs="Courier New" w:eastAsia="Courier New" w:hAnsi="Courier New"/>
          <w:sz w:val="18"/>
          <w:szCs w:val="18"/>
          <w:color w:val="auto"/>
        </w:rPr>
      </w:pPr>
    </w:p>
    <w:p>
      <w:pPr>
        <w:ind w:right="325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future filings, please disclose earnings or losses of equity method investees and minority interests in the net income or loss of</w:t>
      </w:r>
    </w:p>
    <w:p>
      <w:pPr>
        <w:spacing w:after="0" w:line="6"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separately on the face of your statements of operations.</w:t>
      </w:r>
    </w:p>
    <w:p>
      <w:pPr>
        <w:spacing w:after="0" w:line="5" w:lineRule="exact"/>
        <w:rPr>
          <w:rFonts w:ascii="Courier New" w:cs="Courier New" w:eastAsia="Courier New" w:hAnsi="Courier New"/>
          <w:sz w:val="18"/>
          <w:szCs w:val="18"/>
          <w:color w:val="auto"/>
        </w:rPr>
      </w:pPr>
    </w:p>
    <w:p>
      <w:pPr>
        <w:ind w:right="33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Please also disclose minority interests separately on the face of your balance sheets.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10-Q for the Quarterly Period Ended December 31, 2005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Consolidated Financial Statements, page 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Acquisitions, page 12</w:t>
      </w:r>
    </w:p>
    <w:p>
      <w:pPr>
        <w:spacing w:after="0" w:line="207" w:lineRule="exact"/>
        <w:rPr>
          <w:sz w:val="20"/>
          <w:szCs w:val="20"/>
          <w:color w:val="auto"/>
        </w:rPr>
      </w:pPr>
    </w:p>
    <w:p>
      <w:pPr>
        <w:ind w:right="335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that you settled all claims under your litigation with Jones as part of your acquisition of the Polo Jeans business. Please</w:t>
      </w:r>
    </w:p>
    <w:p>
      <w:pPr>
        <w:spacing w:after="0" w:line="6" w:lineRule="exact"/>
        <w:rPr>
          <w:rFonts w:ascii="Courier New" w:cs="Courier New" w:eastAsia="Courier New" w:hAnsi="Courier New"/>
          <w:sz w:val="18"/>
          <w:szCs w:val="18"/>
          <w:color w:val="auto"/>
        </w:rPr>
      </w:pPr>
    </w:p>
    <w:p>
      <w:pPr>
        <w:ind w:right="325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tell us the methodology you used to measure the fair value of the settlement. Please also tell us how you determined the fair value of</w:t>
      </w:r>
    </w:p>
    <w:p>
      <w:pPr>
        <w:spacing w:after="0" w:line="6" w:lineRule="exact"/>
        <w:rPr>
          <w:rFonts w:ascii="Courier New" w:cs="Courier New" w:eastAsia="Courier New" w:hAnsi="Courier New"/>
          <w:sz w:val="18"/>
          <w:szCs w:val="18"/>
          <w:color w:val="auto"/>
        </w:rPr>
      </w:pPr>
    </w:p>
    <w:p>
      <w:pPr>
        <w:ind w:right="32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footwear license in connection with your acquisition of Ralph Lauren Footwear Co., Inc. and whether you recognized a settlement gain or loss upon the reacquisiton of the license. In future filings, please disclose the valuation method you use to determine the settlement amount of preexisting relationships with acquired entities. Please refer to EITF 04-1, Accounting for Preexisting Relationships between the Parties to a Business Combination.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 * *</w:t>
      </w:r>
    </w:p>
    <w:p>
      <w:pPr>
        <w:spacing w:after="0" w:line="207" w:lineRule="exact"/>
        <w:rPr>
          <w:sz w:val="20"/>
          <w:szCs w:val="20"/>
          <w:color w:val="auto"/>
        </w:rPr>
      </w:pPr>
    </w:p>
    <w:p>
      <w:pPr>
        <w:ind w:right="3259" w:firstLine="737"/>
        <w:spacing w:after="0" w:line="236" w:lineRule="auto"/>
        <w:rPr>
          <w:sz w:val="20"/>
          <w:szCs w:val="20"/>
          <w:color w:val="auto"/>
        </w:rPr>
      </w:pPr>
      <w:r>
        <w:rPr>
          <w:rFonts w:ascii="Courier New" w:cs="Courier New" w:eastAsia="Courier New" w:hAnsi="Courier New"/>
          <w:sz w:val="18"/>
          <w:szCs w:val="18"/>
          <w:color w:val="auto"/>
        </w:rPr>
        <w:t>Please respond to these comments within 10 business days or tell us when you will provide us with a response. Please furnish a</w:t>
      </w:r>
    </w:p>
    <w:p>
      <w:pPr>
        <w:spacing w:after="0" w:line="6" w:lineRule="exact"/>
        <w:rPr>
          <w:sz w:val="20"/>
          <w:szCs w:val="20"/>
          <w:color w:val="auto"/>
        </w:rPr>
      </w:pPr>
    </w:p>
    <w:p>
      <w:pPr>
        <w:jc w:val="both"/>
        <w:ind w:right="3479"/>
        <w:spacing w:after="0" w:line="237" w:lineRule="auto"/>
        <w:rPr>
          <w:sz w:val="20"/>
          <w:szCs w:val="20"/>
          <w:color w:val="auto"/>
        </w:rPr>
      </w:pPr>
      <w:r>
        <w:rPr>
          <w:rFonts w:ascii="Courier New" w:cs="Courier New" w:eastAsia="Courier New" w:hAnsi="Courier New"/>
          <w:sz w:val="18"/>
          <w:szCs w:val="18"/>
          <w:color w:val="auto"/>
        </w:rPr>
        <w:t>letter that keys your responses to our comments and provides any requested information. Detailed letters greatly facilitate our review. Please understand that we may have additional comments after</w:t>
      </w:r>
    </w:p>
    <w:p>
      <w:pPr>
        <w:spacing w:after="0"/>
        <w:rPr>
          <w:sz w:val="20"/>
          <w:szCs w:val="20"/>
          <w:color w:val="auto"/>
        </w:rPr>
      </w:pPr>
      <w:r>
        <w:rPr>
          <w:rFonts w:ascii="Courier New" w:cs="Courier New" w:eastAsia="Courier New" w:hAnsi="Courier New"/>
          <w:sz w:val="18"/>
          <w:szCs w:val="18"/>
          <w:color w:val="auto"/>
        </w:rPr>
        <w:t>reviewing your responses to our comments.</w:t>
      </w:r>
    </w:p>
    <w:p>
      <w:pPr>
        <w:spacing w:after="0" w:line="206" w:lineRule="exact"/>
        <w:rPr>
          <w:sz w:val="20"/>
          <w:szCs w:val="20"/>
          <w:color w:val="auto"/>
        </w:rPr>
      </w:pPr>
    </w:p>
    <w:p>
      <w:pPr>
        <w:ind w:right="2939" w:firstLine="948"/>
        <w:spacing w:after="0" w:line="236" w:lineRule="auto"/>
        <w:rPr>
          <w:sz w:val="20"/>
          <w:szCs w:val="20"/>
          <w:color w:val="auto"/>
        </w:rPr>
      </w:pPr>
      <w:r>
        <w:rPr>
          <w:rFonts w:ascii="Courier New" w:cs="Courier New" w:eastAsia="Courier New" w:hAnsi="Courier New"/>
          <w:sz w:val="18"/>
          <w:szCs w:val="18"/>
          <w:color w:val="auto"/>
        </w:rPr>
        <w:t>We urge all persons who are responsible for the accuracy and adequacy of the disclosure in the filing to be certain that the filing includes all information required under the Securities</w:t>
      </w:r>
    </w:p>
    <w:p>
      <w:pPr>
        <w:sectPr>
          <w:pgSz w:w="11900" w:h="16838" w:orient="portrait"/>
          <w:cols w:equalWidth="0" w:num="1">
            <w:col w:w="10219"/>
          </w:cols>
          <w:pgMar w:left="240" w:top="142" w:right="1440" w:bottom="0" w:gutter="0" w:footer="0" w:header="0"/>
        </w:sectPr>
      </w:pPr>
    </w:p>
    <w:bookmarkStart w:id="2" w:name="page3"/>
    <w:bookmarkEnd w:id="2"/>
    <w:p>
      <w:pPr>
        <w:ind w:right="3259"/>
        <w:spacing w:after="0" w:line="237" w:lineRule="auto"/>
        <w:rPr>
          <w:sz w:val="20"/>
          <w:szCs w:val="20"/>
          <w:color w:val="auto"/>
        </w:rPr>
      </w:pPr>
      <w:r>
        <w:rPr>
          <w:rFonts w:ascii="Courier New" w:cs="Courier New" w:eastAsia="Courier New" w:hAnsi="Courier New"/>
          <w:sz w:val="18"/>
          <w:szCs w:val="18"/>
          <w:color w:val="auto"/>
        </w:rPr>
        <w:t>Exchange Act of 1934 and that they have provided all information investors require for an informed investment decision. Since the company and its management are in possession of all facts relating to</w:t>
      </w:r>
    </w:p>
    <w:p>
      <w:pPr>
        <w:spacing w:after="0" w:line="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a company`s disclosure, they are responsible for the accuracy and adequacy of the disclosures they have made.</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connection with responding to our comments, please</w:t>
      </w:r>
    </w:p>
    <w:p>
      <w:pPr>
        <w:spacing w:after="0" w:line="238" w:lineRule="auto"/>
        <w:rPr>
          <w:sz w:val="20"/>
          <w:szCs w:val="20"/>
          <w:color w:val="auto"/>
        </w:rPr>
      </w:pPr>
      <w:r>
        <w:rPr>
          <w:rFonts w:ascii="Courier New" w:cs="Courier New" w:eastAsia="Courier New" w:hAnsi="Courier New"/>
          <w:sz w:val="18"/>
          <w:szCs w:val="18"/>
          <w:color w:val="auto"/>
        </w:rPr>
        <w:t>provide,</w:t>
      </w:r>
    </w:p>
    <w:p>
      <w:pPr>
        <w:spacing w:after="0"/>
        <w:rPr>
          <w:sz w:val="20"/>
          <w:szCs w:val="20"/>
          <w:color w:val="auto"/>
        </w:rPr>
      </w:pPr>
      <w:r>
        <w:rPr>
          <w:rFonts w:ascii="Courier New" w:cs="Courier New" w:eastAsia="Courier New" w:hAnsi="Courier New"/>
          <w:sz w:val="18"/>
          <w:szCs w:val="18"/>
          <w:color w:val="auto"/>
        </w:rPr>
        <w:t>in writing, a statement from the company acknowledging that:</w:t>
      </w:r>
    </w:p>
    <w:p>
      <w:pPr>
        <w:spacing w:after="0" w:line="206" w:lineRule="exact"/>
        <w:rPr>
          <w:sz w:val="20"/>
          <w:szCs w:val="20"/>
          <w:color w:val="auto"/>
        </w:rPr>
      </w:pPr>
    </w:p>
    <w:p>
      <w:pPr>
        <w:ind w:right="3359" w:firstLine="8"/>
        <w:spacing w:after="0" w:line="235"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responsible for the adequacy and accuracy of the disclosure in the filing;</w:t>
      </w:r>
    </w:p>
    <w:p>
      <w:pPr>
        <w:spacing w:after="0" w:line="208"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staff comments or changes to disclosure in response to staff comments do not foreclose the Commission from taking any action with</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respect to the filing; and</w:t>
      </w:r>
    </w:p>
    <w:p>
      <w:pPr>
        <w:spacing w:after="0" w:line="207" w:lineRule="exact"/>
        <w:rPr>
          <w:rFonts w:ascii="Courier New" w:cs="Courier New" w:eastAsia="Courier New" w:hAnsi="Courier New"/>
          <w:sz w:val="18"/>
          <w:szCs w:val="18"/>
          <w:color w:val="auto"/>
        </w:rPr>
      </w:pPr>
    </w:p>
    <w:p>
      <w:pPr>
        <w:ind w:right="3579" w:firstLine="8"/>
        <w:spacing w:after="0" w:line="236"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not assert staff comments as a defense in any proceeding initiated by the Commission or any person under the federal securities laws of the United States.</w:t>
      </w:r>
    </w:p>
    <w:p>
      <w:pPr>
        <w:spacing w:after="0" w:line="209" w:lineRule="exact"/>
        <w:rPr>
          <w:sz w:val="20"/>
          <w:szCs w:val="20"/>
          <w:color w:val="auto"/>
        </w:rPr>
      </w:pPr>
    </w:p>
    <w:p>
      <w:pPr>
        <w:ind w:right="4199" w:firstLine="632"/>
        <w:spacing w:after="0" w:line="235" w:lineRule="auto"/>
        <w:rPr>
          <w:sz w:val="20"/>
          <w:szCs w:val="20"/>
          <w:color w:val="auto"/>
        </w:rPr>
      </w:pPr>
      <w:r>
        <w:rPr>
          <w:rFonts w:ascii="Courier New" w:cs="Courier New" w:eastAsia="Courier New" w:hAnsi="Courier New"/>
          <w:sz w:val="18"/>
          <w:szCs w:val="18"/>
          <w:color w:val="auto"/>
        </w:rPr>
        <w:t>In addition, please be advised that the Division of Enforcement</w:t>
      </w:r>
    </w:p>
    <w:p>
      <w:pPr>
        <w:spacing w:after="0" w:line="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has access to all information you provide to the staff of the Division of Corporation Finance in our review of your filing or in response to our comments on your filing.</w:t>
      </w:r>
    </w:p>
    <w:p>
      <w:pPr>
        <w:spacing w:after="0" w:line="209" w:lineRule="exact"/>
        <w:rPr>
          <w:sz w:val="20"/>
          <w:szCs w:val="20"/>
          <w:color w:val="auto"/>
        </w:rPr>
      </w:pPr>
    </w:p>
    <w:p>
      <w:pPr>
        <w:ind w:right="3159" w:firstLine="843"/>
        <w:spacing w:after="0" w:line="236" w:lineRule="auto"/>
        <w:rPr>
          <w:sz w:val="20"/>
          <w:szCs w:val="20"/>
          <w:color w:val="auto"/>
        </w:rPr>
      </w:pPr>
      <w:r>
        <w:rPr>
          <w:rFonts w:ascii="Courier New" w:cs="Courier New" w:eastAsia="Courier New" w:hAnsi="Courier New"/>
          <w:sz w:val="18"/>
          <w:szCs w:val="18"/>
          <w:color w:val="auto"/>
        </w:rPr>
        <w:t>You may contact Scott Ruggiero at (202) 551-3331 or William Thompson at (202) 551-3344 if you have questions regarding comments</w:t>
      </w:r>
    </w:p>
    <w:p>
      <w:pPr>
        <w:spacing w:after="0" w:line="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on the financial statements and related matters. Please contact me</w:t>
      </w:r>
    </w:p>
    <w:p>
      <w:pPr>
        <w:spacing w:after="0"/>
        <w:rPr>
          <w:sz w:val="20"/>
          <w:szCs w:val="20"/>
          <w:color w:val="auto"/>
        </w:rPr>
      </w:pPr>
      <w:r>
        <w:rPr>
          <w:rFonts w:ascii="Courier New" w:cs="Courier New" w:eastAsia="Courier New" w:hAnsi="Courier New"/>
          <w:sz w:val="18"/>
          <w:szCs w:val="18"/>
          <w:color w:val="auto"/>
        </w:rPr>
        <w:t>at (202) 551-3716 with any other questions.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Choi</w:t>
      </w:r>
    </w:p>
    <w:p>
      <w:pPr>
        <w:spacing w:after="0" w:line="238" w:lineRule="auto"/>
        <w:rPr>
          <w:sz w:val="20"/>
          <w:szCs w:val="20"/>
          <w:color w:val="auto"/>
        </w:rPr>
      </w:pPr>
      <w:r>
        <w:rPr>
          <w:rFonts w:ascii="Courier New" w:cs="Courier New" w:eastAsia="Courier New" w:hAnsi="Courier New"/>
          <w:sz w:val="18"/>
          <w:szCs w:val="18"/>
          <w:color w:val="auto"/>
        </w:rPr>
        <w:t>Branch Chief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Ms. Tracey Travis</w:t>
      </w:r>
    </w:p>
    <w:p>
      <w:pPr>
        <w:spacing w:after="0" w:line="238" w:lineRule="auto"/>
        <w:rPr>
          <w:sz w:val="20"/>
          <w:szCs w:val="20"/>
          <w:color w:val="auto"/>
        </w:rPr>
      </w:pPr>
      <w:r>
        <w:rPr>
          <w:rFonts w:ascii="Courier New" w:cs="Courier New" w:eastAsia="Courier New" w:hAnsi="Courier New"/>
          <w:sz w:val="18"/>
          <w:szCs w:val="18"/>
          <w:color w:val="auto"/>
        </w:rPr>
        <w:t>Polo Ralph Lauren Corporation</w:t>
      </w:r>
    </w:p>
    <w:p>
      <w:pPr>
        <w:spacing w:after="0"/>
        <w:rPr>
          <w:sz w:val="20"/>
          <w:szCs w:val="20"/>
          <w:color w:val="auto"/>
        </w:rPr>
      </w:pPr>
      <w:r>
        <w:rPr>
          <w:rFonts w:ascii="Courier New" w:cs="Courier New" w:eastAsia="Courier New" w:hAnsi="Courier New"/>
          <w:sz w:val="18"/>
          <w:szCs w:val="18"/>
          <w:color w:val="auto"/>
        </w:rPr>
        <w:t>March 28, 2006</w:t>
      </w:r>
    </w:p>
    <w:p>
      <w:pPr>
        <w:spacing w:after="0" w:line="237" w:lineRule="auto"/>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4"/>
    </w:lvl>
  </w:abstractNum>
  <w:abstractNum w:abstractNumId="3">
    <w:nsid w:val="238E1F29"/>
    <w:multiLevelType w:val="hybridMultilevel"/>
    <w:lvl w:ilvl="0">
      <w:lvlJc w:val="left"/>
      <w:lvlText w:val="%1."/>
      <w:numFmt w:val="decimal"/>
      <w:start w:val="6"/>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2019-12-12T01:51:12Z</dcterms:created>
  <dcterms:modified xsi:type="dcterms:W3CDTF">2019-12-12T01:51:12Z</dcterms:modified>
</cp:coreProperties>
</file>