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s260842632_4-bennack.xml.htm"/>
      <w:bookmarkStart w:id="1" w:name="kses260842632_4bennack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BENNACK FRANK A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RALPH LAUREN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650 MADISON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RALPH LAUREN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52"/>
        <w:gridCol w:w="904"/>
        <w:gridCol w:w="773"/>
        <w:gridCol w:w="600"/>
        <w:gridCol w:w="351"/>
        <w:gridCol w:w="814"/>
        <w:gridCol w:w="462"/>
        <w:gridCol w:w="624"/>
        <w:gridCol w:w="1290"/>
        <w:gridCol w:w="1007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32,891.24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of the Issuer's Class A Common Stock payable as a result of the payment of a cash dividend on the Issuer's Class A Common Stock. The restricted stock units are payable solely in shares of the Issuer's Class A Common Stock issued to the Reporting Person in respect of restricted stock units previously granted under the Issuer's 2019 Long-Term Stock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Avery S. Fischer, Attorney-in-Fact for Frank A. Bennack, Jr.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52896" TargetMode="External"/><Relationship Id="rId5" Type="http://schemas.openxmlformats.org/officeDocument/2006/relationships/hyperlink" Target="http://www.sec.gov/cgi-bin/browse-edgar?action=getcompany&amp;CIK=00010370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639</Words>
  <Characters>3432</Characters>
  <CharactersWithSpaces>4004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